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67392A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C3095D">
              <w:rPr>
                <w:rFonts w:asciiTheme="minorHAnsi" w:hAnsiTheme="minorHAnsi" w:cstheme="minorHAnsi"/>
                <w:b/>
                <w:bCs/>
                <w:color w:val="21517E"/>
              </w:rPr>
              <w:t>2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67392A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C3095D">
              <w:rPr>
                <w:rFonts w:asciiTheme="minorHAnsi" w:hAnsiTheme="minorHAnsi" w:cstheme="minorHAnsi"/>
                <w:b/>
                <w:bCs/>
                <w:color w:val="21517E"/>
              </w:rPr>
              <w:t>2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.2025</w:t>
            </w:r>
          </w:p>
          <w:p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:rsidR="005C2EC8" w:rsidRDefault="00183730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ІНДЕКСИ </w:t>
            </w:r>
            <w:r w:rsidR="00AA5AE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СПОЖИВЧИХ 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:rsidR="005C2EC8" w:rsidRPr="00AB3E99" w:rsidRDefault="00845288" w:rsidP="00A957FB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у </w:t>
            </w:r>
            <w:r w:rsidR="00FB1FEC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Волинській</w:t>
            </w: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A957FB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в</w:t>
            </w:r>
            <w:r w:rsidR="00547A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430E77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листопад</w:t>
            </w:r>
            <w:r w:rsidR="00547A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і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:rsidR="005C2EC8" w:rsidRPr="002530AB" w:rsidRDefault="00845288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="005C2EC8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270FC0">
              <w:rPr>
                <w:sz w:val="20"/>
                <w:szCs w:val="20"/>
                <w:lang w:eastAsia="uk-UA"/>
              </w:rPr>
              <w:t>Волинській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:rsidR="00FB1FEC" w:rsidRPr="009A410E" w:rsidRDefault="00FB1FEC" w:rsidP="00FB1FEC">
            <w:pPr>
              <w:pStyle w:val="--12"/>
              <w:ind w:left="33" w:firstLine="0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4B8FF191" wp14:editId="6C33262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hyperlink r:id="rId16" w:history="1">
              <w:r w:rsidRPr="006B20C7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lutsk.ukrstat.gov.ua</w:t>
              </w:r>
            </w:hyperlink>
          </w:p>
          <w:p w:rsidR="00FB1FEC" w:rsidRPr="006D536B" w:rsidRDefault="00FB1FEC" w:rsidP="00FB1FEC">
            <w:pPr>
              <w:pStyle w:val="--12"/>
              <w:ind w:left="33" w:firstLine="0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014BCE9C" wp14:editId="5441F6BC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415CA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</w:t>
            </w:r>
            <w:hyperlink r:id="rId19" w:history="1">
              <w:r w:rsidRPr="006D536B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lutsk@lutsk.ukrstat.gov.ua</w:t>
              </w:r>
            </w:hyperlink>
          </w:p>
          <w:p w:rsidR="005C2EC8" w:rsidRPr="00E94112" w:rsidRDefault="00FB1FEC" w:rsidP="00FB1FEC">
            <w:pPr>
              <w:spacing w:after="60"/>
              <w:ind w:left="33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01A36FC1" wp14:editId="7602FBCD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+38 (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0332</w:t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) 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78 56 70</w:t>
            </w:r>
          </w:p>
        </w:tc>
      </w:tr>
    </w:tbl>
    <w:p w:rsidR="004F3936" w:rsidRDefault="004F3936" w:rsidP="00183730">
      <w:pPr>
        <w:pStyle w:val="--12"/>
      </w:pPr>
    </w:p>
    <w:p w:rsidR="000052FE" w:rsidRDefault="000052FE" w:rsidP="00183730">
      <w:pPr>
        <w:pStyle w:val="--12"/>
      </w:pPr>
      <w:r w:rsidRPr="000052FE">
        <w:t>Споживчі ціни в області</w:t>
      </w:r>
      <w:r w:rsidRPr="000052FE">
        <w:rPr>
          <w:lang w:val="ru-RU"/>
        </w:rPr>
        <w:t xml:space="preserve"> </w:t>
      </w:r>
      <w:r w:rsidR="00A957FB">
        <w:t>в</w:t>
      </w:r>
      <w:r w:rsidRPr="000052FE">
        <w:t xml:space="preserve"> </w:t>
      </w:r>
      <w:r w:rsidR="00B63976">
        <w:t>листопад</w:t>
      </w:r>
      <w:r w:rsidRPr="000052FE">
        <w:t>і 20</w:t>
      </w:r>
      <w:r w:rsidRPr="000052FE">
        <w:rPr>
          <w:lang w:val="ru-RU"/>
        </w:rPr>
        <w:t>2</w:t>
      </w:r>
      <w:r w:rsidRPr="000052FE">
        <w:t xml:space="preserve">5р. порівняно з попереднім місяцем зросли на </w:t>
      </w:r>
      <w:r w:rsidR="00B63976">
        <w:t>0</w:t>
      </w:r>
      <w:r w:rsidRPr="000052FE">
        <w:t>,</w:t>
      </w:r>
      <w:r w:rsidR="00154877" w:rsidRPr="00154877">
        <w:rPr>
          <w:lang w:val="ru-RU"/>
        </w:rPr>
        <w:t>6</w:t>
      </w:r>
      <w:r w:rsidRPr="000052FE">
        <w:t>%, з</w:t>
      </w:r>
      <w:r w:rsidRPr="000052FE">
        <w:rPr>
          <w:lang w:val="ru-RU"/>
        </w:rPr>
        <w:t xml:space="preserve"> </w:t>
      </w:r>
      <w:r w:rsidRPr="000052FE">
        <w:t xml:space="preserve">початку року – на </w:t>
      </w:r>
      <w:r w:rsidR="00E805C0">
        <w:rPr>
          <w:lang w:val="ru-RU"/>
        </w:rPr>
        <w:t>9</w:t>
      </w:r>
      <w:r w:rsidRPr="000052FE">
        <w:t>,</w:t>
      </w:r>
      <w:r w:rsidR="00B63976">
        <w:t>7</w:t>
      </w:r>
      <w:r w:rsidRPr="000052FE">
        <w:t>%, в Україні</w:t>
      </w:r>
      <w:r w:rsidR="001B09AA" w:rsidRPr="001B09AA">
        <w:rPr>
          <w:lang w:val="ru-RU"/>
        </w:rPr>
        <w:t xml:space="preserve"> –</w:t>
      </w:r>
      <w:r w:rsidR="001B09AA">
        <w:rPr>
          <w:lang w:val="ru-RU"/>
        </w:rPr>
        <w:t xml:space="preserve"> </w:t>
      </w:r>
      <w:r w:rsidR="001B09AA">
        <w:t>на</w:t>
      </w:r>
      <w:r w:rsidRPr="000052FE">
        <w:t xml:space="preserve"> </w:t>
      </w:r>
      <w:r w:rsidR="001B09AA">
        <w:rPr>
          <w:lang w:val="ru-RU"/>
        </w:rPr>
        <w:t>0,</w:t>
      </w:r>
      <w:r w:rsidR="007F23A2" w:rsidRPr="007F23A2">
        <w:rPr>
          <w:lang w:val="ru-RU"/>
        </w:rPr>
        <w:t>4</w:t>
      </w:r>
      <w:r w:rsidR="001B09AA" w:rsidRPr="000052FE">
        <w:t>%</w:t>
      </w:r>
      <w:r w:rsidR="001B09AA">
        <w:t xml:space="preserve"> та </w:t>
      </w:r>
      <w:r w:rsidR="007F23A2" w:rsidRPr="007F23A2">
        <w:rPr>
          <w:lang w:val="ru-RU"/>
        </w:rPr>
        <w:t>7</w:t>
      </w:r>
      <w:r w:rsidR="001B09AA" w:rsidRPr="000052FE">
        <w:t>,</w:t>
      </w:r>
      <w:r w:rsidR="007F23A2" w:rsidRPr="007F23A2">
        <w:rPr>
          <w:lang w:val="ru-RU"/>
        </w:rPr>
        <w:t>7</w:t>
      </w:r>
      <w:r w:rsidR="001B09AA" w:rsidRPr="000052FE">
        <w:t>%</w:t>
      </w:r>
      <w:r w:rsidR="001B09AA">
        <w:t xml:space="preserve"> </w:t>
      </w:r>
      <w:r w:rsidRPr="000052FE">
        <w:t>відповідно</w:t>
      </w:r>
      <w:r w:rsidR="001B09AA">
        <w:t>.</w:t>
      </w:r>
    </w:p>
    <w:p w:rsidR="00183730" w:rsidRPr="001551BB" w:rsidRDefault="00183730" w:rsidP="00183730">
      <w:pPr>
        <w:pStyle w:val="--12"/>
        <w:rPr>
          <w:sz w:val="10"/>
          <w:szCs w:val="12"/>
        </w:rPr>
      </w:pPr>
    </w:p>
    <w:p w:rsidR="00183730" w:rsidRDefault="00183730" w:rsidP="00183730">
      <w:pPr>
        <w:pStyle w:val="--12"/>
        <w:ind w:firstLine="0"/>
      </w:pPr>
    </w:p>
    <w:p w:rsidR="00183730" w:rsidRDefault="00183730" w:rsidP="00183730">
      <w:pPr>
        <w:pStyle w:val="--12"/>
        <w:ind w:firstLine="0"/>
        <w:sectPr w:rsidR="00183730" w:rsidSect="0043435C">
          <w:footerReference w:type="even" r:id="rId21"/>
          <w:footerReference w:type="default" r:id="rId22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:rsidR="00BE70F0" w:rsidRDefault="00BE70F0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цін </w:t>
      </w:r>
    </w:p>
    <w:p w:rsidR="0037204B" w:rsidRPr="00FB4166" w:rsidRDefault="0037204B" w:rsidP="0037204B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:rsidR="0037204B" w:rsidRDefault="0087211E" w:rsidP="00FA5018">
      <w:pPr>
        <w:pStyle w:val="--12"/>
        <w:tabs>
          <w:tab w:val="left" w:pos="993"/>
        </w:tabs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3AB25410" wp14:editId="0CCAC747">
            <wp:extent cx="2835275" cy="1878965"/>
            <wp:effectExtent l="0" t="0" r="3175" b="6985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BE70F0" w:rsidRPr="00BE70F0" w:rsidRDefault="00BE70F0" w:rsidP="0037204B">
      <w:pPr>
        <w:pStyle w:val="--12"/>
        <w:ind w:firstLine="0"/>
        <w:jc w:val="center"/>
        <w:rPr>
          <w:b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</w:t>
      </w: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>цін</w:t>
      </w:r>
      <w:r w:rsidR="0087211E">
        <w:rPr>
          <w:rFonts w:ascii="Calibri" w:hAnsi="Calibri" w:cs="Calibri"/>
          <w:b/>
          <w:bCs/>
          <w:snapToGrid/>
          <w:color w:val="DC9529"/>
          <w:szCs w:val="24"/>
        </w:rPr>
        <w:t xml:space="preserve"> у 2025 році</w:t>
      </w:r>
    </w:p>
    <w:p w:rsidR="001069E5" w:rsidRDefault="00BE70F0" w:rsidP="0037204B">
      <w:pPr>
        <w:pStyle w:val="--12"/>
        <w:ind w:firstLine="0"/>
        <w:jc w:val="center"/>
        <w:rPr>
          <w:rFonts w:ascii="Calibri" w:hAnsi="Calibri" w:cs="Calibri"/>
          <w:sz w:val="20"/>
          <w:szCs w:val="20"/>
        </w:rPr>
      </w:pPr>
      <w:r w:rsidRPr="00FB4166">
        <w:rPr>
          <w:rFonts w:ascii="Calibri" w:hAnsi="Calibri" w:cs="Calibri"/>
          <w:sz w:val="20"/>
          <w:szCs w:val="20"/>
        </w:rPr>
        <w:t xml:space="preserve">у % до </w:t>
      </w:r>
      <w:r w:rsidR="00FB4166" w:rsidRPr="00FB4166">
        <w:rPr>
          <w:rFonts w:ascii="Calibri" w:hAnsi="Calibri" w:cs="Calibri"/>
          <w:sz w:val="20"/>
          <w:szCs w:val="20"/>
        </w:rPr>
        <w:t>грудня</w:t>
      </w:r>
      <w:r w:rsidRPr="00FB4166">
        <w:rPr>
          <w:rFonts w:ascii="Calibri" w:hAnsi="Calibri" w:cs="Calibri"/>
          <w:sz w:val="20"/>
          <w:szCs w:val="20"/>
        </w:rPr>
        <w:t xml:space="preserve"> попереднього року</w:t>
      </w:r>
    </w:p>
    <w:p w:rsidR="0037204B" w:rsidRDefault="0037204B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4F3936">
        <w:rPr>
          <w:noProof/>
          <w:snapToGrid/>
          <w:lang w:eastAsia="uk-UA"/>
          <w14:ligatures w14:val="standardContextual"/>
        </w:rPr>
        <w:drawing>
          <wp:inline distT="0" distB="0" distL="0" distR="0" wp14:anchorId="1A1541AA" wp14:editId="4B1C5BBF">
            <wp:extent cx="2835275" cy="1878965"/>
            <wp:effectExtent l="0" t="0" r="3175" b="6985"/>
            <wp:docPr id="1326467496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footerReference w:type="even" r:id="rId25"/>
          <w:footerReference w:type="default" r:id="rId26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</w:p>
    <w:p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>Зміни споживчих цін на товари та послуги</w:t>
      </w:r>
    </w:p>
    <w:p w:rsidR="001551BB" w:rsidRDefault="001551BB" w:rsidP="00464B9F">
      <w:pPr>
        <w:pStyle w:val="--12"/>
        <w:ind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464B9F" w:rsidTr="00857D6C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:rsidR="00464B9F" w:rsidRDefault="00AF4116" w:rsidP="00464B9F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Листопад</w:t>
            </w:r>
            <w:r w:rsidR="000052FE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</w:t>
            </w:r>
            <w:r w:rsidR="00464B9F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464B9F" w:rsidTr="004F3936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:rsidR="000052FE" w:rsidRDefault="00AF4116" w:rsidP="00464B9F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жовт</w:t>
            </w:r>
            <w:r w:rsidR="000052FE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ня </w:t>
            </w:r>
          </w:p>
          <w:p w:rsidR="00464B9F" w:rsidRDefault="000052FE" w:rsidP="00464B9F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:rsidR="000052FE" w:rsidRDefault="00F4211F" w:rsidP="000052FE">
            <w:pPr>
              <w:jc w:val="center"/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</w:p>
          <w:p w:rsidR="00464B9F" w:rsidRDefault="000052FE" w:rsidP="000052FE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2024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Pr="00200BF7" w:rsidRDefault="00200BF7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en-US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en-US"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Pr="00A957FB" w:rsidRDefault="000977E4" w:rsidP="00A957FB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en-US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9,</w:t>
            </w:r>
            <w:r w:rsidR="00A957FB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en-US" w:eastAsia="en-US"/>
                <w14:ligatures w14:val="standardContextual"/>
              </w:rPr>
              <w:t>7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200BF7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0977E4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13,9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200BF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0977E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13,7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200BF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1,4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0977E4" w:rsidP="00F8261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15,0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200BF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0977E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17,2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200BF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0977E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10,5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200BF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1,4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0977E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26,1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200BF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0977E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19,2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200BF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0977E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8,9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200BF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-0,8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0977E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8,2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200BF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18,1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0977E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10,4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200BF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-6,2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0977E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-1,2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200BF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0977E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14,8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200BF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-4,1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0977E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18,5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200BF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3,8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0977E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-29,1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200BF7" w:rsidP="001D337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-3,6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0977E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-3,3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200BF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0977E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15,2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200BF7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-0,2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0977E4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16,2</w:t>
            </w:r>
          </w:p>
        </w:tc>
      </w:tr>
      <w:tr w:rsidR="0037204B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:rsidR="0037204B" w:rsidRDefault="0037204B" w:rsidP="0037204B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37204B" w:rsidRDefault="00200BF7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-2,6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37204B" w:rsidRDefault="000977E4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3,0</w:t>
            </w:r>
          </w:p>
        </w:tc>
      </w:tr>
      <w:tr w:rsidR="0037204B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37204B" w:rsidRPr="00746098" w:rsidRDefault="00200BF7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-2,6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37204B" w:rsidRPr="00746098" w:rsidRDefault="000977E4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4,2</w:t>
            </w:r>
          </w:p>
        </w:tc>
      </w:tr>
      <w:tr w:rsidR="0037204B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37204B" w:rsidRPr="00746098" w:rsidRDefault="00200BF7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-2,6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37204B" w:rsidRPr="00746098" w:rsidRDefault="000977E4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1,7</w:t>
            </w:r>
          </w:p>
        </w:tc>
      </w:tr>
      <w:tr w:rsidR="004F3936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:rsidR="004F3936" w:rsidRDefault="004F3936" w:rsidP="004F3936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F3936" w:rsidRDefault="00200BF7" w:rsidP="004F393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F3936" w:rsidRDefault="000977E4" w:rsidP="004F393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1,4</w:t>
            </w:r>
          </w:p>
        </w:tc>
      </w:tr>
      <w:tr w:rsidR="004F3936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:rsidR="004F3936" w:rsidRDefault="004F3936" w:rsidP="004F393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F3936" w:rsidRPr="00746098" w:rsidRDefault="00200BF7" w:rsidP="004F393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0,2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F3936" w:rsidRPr="00746098" w:rsidRDefault="000977E4" w:rsidP="004F393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5,3</w:t>
            </w:r>
          </w:p>
        </w:tc>
      </w:tr>
      <w:tr w:rsidR="004F3936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:rsidR="004F3936" w:rsidRDefault="004F3936" w:rsidP="004F393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F3936" w:rsidRPr="00746098" w:rsidRDefault="00200BF7" w:rsidP="004F393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F3936" w:rsidRPr="00746098" w:rsidRDefault="000977E4" w:rsidP="004F393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</w:tbl>
    <w:p w:rsidR="00C203E8" w:rsidRDefault="004F3936" w:rsidP="0038775F">
      <w:pPr>
        <w:pStyle w:val="--12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4F3936" w:rsidRDefault="004F3936">
      <w:pPr>
        <w:rPr>
          <w:rFonts w:asciiTheme="minorHAnsi" w:hAnsiTheme="minorHAnsi" w:cstheme="minorHAnsi"/>
          <w:snapToGrid w:val="0"/>
          <w:color w:val="22517D"/>
          <w:sz w:val="22"/>
          <w:szCs w:val="22"/>
        </w:rPr>
      </w:pPr>
    </w:p>
    <w:p w:rsidR="001551BB" w:rsidRPr="0038775F" w:rsidRDefault="0038775F" w:rsidP="0038775F">
      <w:pPr>
        <w:pStyle w:val="--12"/>
        <w:ind w:firstLine="0"/>
        <w:jc w:val="right"/>
      </w:pPr>
      <w:r w:rsidRPr="001551BB">
        <w:rPr>
          <w:sz w:val="22"/>
          <w:szCs w:val="22"/>
        </w:rPr>
        <w:t>Продовження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734409" w:rsidTr="00F6073F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</w:tcPr>
          <w:p w:rsidR="00734409" w:rsidRDefault="00734409" w:rsidP="00734409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:rsidR="00734409" w:rsidRDefault="00363078" w:rsidP="00734409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Листопад</w:t>
            </w:r>
            <w:r w:rsidR="00734409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</w:t>
            </w:r>
            <w:r w:rsidR="00734409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734409" w:rsidTr="00F6073F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center"/>
            <w:hideMark/>
          </w:tcPr>
          <w:p w:rsidR="00734409" w:rsidRDefault="00734409" w:rsidP="00734409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:rsidR="00734409" w:rsidRDefault="00363078" w:rsidP="00734409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жовт</w:t>
            </w:r>
            <w:r w:rsidR="00734409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ня </w:t>
            </w:r>
          </w:p>
          <w:p w:rsidR="00734409" w:rsidRDefault="00734409" w:rsidP="00734409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:rsidR="00734409" w:rsidRDefault="00734409" w:rsidP="00734409">
            <w:pPr>
              <w:jc w:val="center"/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</w:p>
          <w:p w:rsidR="00734409" w:rsidRDefault="00734409" w:rsidP="00734409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2024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200BF7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0977E4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3,5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200BF7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0977E4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200BF7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0977E4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1,7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200BF7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0977E4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200BF7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0977E4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200BF7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0977E4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200BF7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-0,5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0977E4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1,9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200BF7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-1,1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0977E4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6,8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200BF7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-1,8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0977E4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5,1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200BF7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0977E4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11,8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200BF7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0977E4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5,7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200BF7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0977E4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5,8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200BF7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0977E4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15,9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200BF7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0977E4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5,5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200BF7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0977E4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17,5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200BF7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0977E4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13,8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200BF7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0977E4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-0,4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200BF7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0977E4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7,8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200BF7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0977E4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15,4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200BF7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0977E4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2,5</w:t>
            </w:r>
          </w:p>
        </w:tc>
      </w:tr>
    </w:tbl>
    <w:p w:rsidR="006E3757" w:rsidRPr="006E3757" w:rsidRDefault="006E3757" w:rsidP="006E3757">
      <w:pPr>
        <w:spacing w:line="216" w:lineRule="auto"/>
        <w:rPr>
          <w:rFonts w:ascii="Calibri" w:hAnsi="Calibri" w:cs="Arial"/>
          <w:b/>
          <w:color w:val="22517D"/>
        </w:rPr>
      </w:pPr>
    </w:p>
    <w:tbl>
      <w:tblPr>
        <w:tblStyle w:val="1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749"/>
      </w:tblGrid>
      <w:tr w:rsidR="006E3757" w:rsidRPr="006E3757" w:rsidTr="001969D7">
        <w:trPr>
          <w:trHeight w:val="7588"/>
        </w:trPr>
        <w:tc>
          <w:tcPr>
            <w:tcW w:w="4890" w:type="dxa"/>
          </w:tcPr>
          <w:p w:rsidR="00460BBC" w:rsidRDefault="00734409" w:rsidP="00A82AC1">
            <w:pPr>
              <w:ind w:firstLine="567"/>
              <w:jc w:val="both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На споживчому ринку області </w:t>
            </w:r>
            <w:r w:rsidR="00A957FB">
              <w:rPr>
                <w:rFonts w:ascii="Calibri" w:hAnsi="Calibri"/>
                <w:color w:val="22517D"/>
                <w:sz w:val="22"/>
                <w:szCs w:val="22"/>
              </w:rPr>
              <w:t>в</w:t>
            </w:r>
            <w:r w:rsidR="00E042AD"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3C335B">
              <w:rPr>
                <w:rFonts w:ascii="Calibri" w:hAnsi="Calibri"/>
                <w:color w:val="22517D"/>
                <w:sz w:val="22"/>
                <w:szCs w:val="22"/>
              </w:rPr>
              <w:t>листопад</w:t>
            </w:r>
            <w:r w:rsidR="00E042AD" w:rsidRPr="00734409">
              <w:rPr>
                <w:rFonts w:ascii="Calibri" w:hAnsi="Calibri"/>
                <w:color w:val="22517D"/>
                <w:sz w:val="22"/>
                <w:szCs w:val="22"/>
              </w:rPr>
              <w:t>і</w:t>
            </w:r>
            <w:r w:rsidR="00E042AD" w:rsidRPr="00E042AD">
              <w:rPr>
                <w:rFonts w:ascii="Calibri" w:hAnsi="Calibri"/>
                <w:color w:val="22517D"/>
                <w:sz w:val="22"/>
                <w:szCs w:val="22"/>
              </w:rPr>
              <w:t xml:space="preserve"> ціни на продукти харчування та безалкогольні напої з</w:t>
            </w:r>
            <w:r w:rsidR="00E042AD">
              <w:rPr>
                <w:rFonts w:ascii="Calibri" w:hAnsi="Calibri"/>
                <w:color w:val="22517D"/>
                <w:sz w:val="22"/>
                <w:szCs w:val="22"/>
              </w:rPr>
              <w:t>росли</w:t>
            </w:r>
            <w:r w:rsidR="00E042AD" w:rsidRPr="00E042AD">
              <w:rPr>
                <w:rFonts w:ascii="Calibri" w:hAnsi="Calibri"/>
                <w:color w:val="22517D"/>
                <w:sz w:val="22"/>
                <w:szCs w:val="22"/>
              </w:rPr>
              <w:t xml:space="preserve"> на </w:t>
            </w:r>
            <w:r w:rsidR="008013D4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="00E042AD" w:rsidRPr="00E042AD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8013D4"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="00E042AD" w:rsidRPr="00E042AD">
              <w:rPr>
                <w:rFonts w:ascii="Calibri" w:hAnsi="Calibri"/>
                <w:color w:val="22517D"/>
                <w:sz w:val="22"/>
                <w:szCs w:val="22"/>
              </w:rPr>
              <w:t>%.</w:t>
            </w:r>
            <w:r w:rsidR="00E042AD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E042AD" w:rsidRPr="00734409">
              <w:rPr>
                <w:rFonts w:ascii="Calibri" w:hAnsi="Calibri"/>
                <w:color w:val="22517D"/>
                <w:sz w:val="22"/>
                <w:szCs w:val="22"/>
              </w:rPr>
              <w:t>Н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айбільше</w:t>
            </w:r>
            <w:r w:rsidR="00E042AD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</w:t>
            </w:r>
            <w:r w:rsidR="0014614C">
              <w:rPr>
                <w:rFonts w:ascii="Calibri" w:hAnsi="Calibri"/>
                <w:bCs/>
                <w:color w:val="22517D"/>
                <w:sz w:val="22"/>
                <w:szCs w:val="22"/>
              </w:rPr>
              <w:t>підвищилися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ціни на </w:t>
            </w:r>
            <w:r w:rsidR="001461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яйця</w:t>
            </w:r>
            <w:r w:rsidR="0014614C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</w:t>
            </w:r>
            <w:r w:rsidR="00DD64C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(на </w:t>
            </w:r>
            <w:r w:rsidR="008013D4">
              <w:rPr>
                <w:rFonts w:ascii="Calibri" w:hAnsi="Calibri"/>
                <w:bCs/>
                <w:color w:val="22517D"/>
                <w:sz w:val="22"/>
                <w:szCs w:val="22"/>
              </w:rPr>
              <w:t>18</w:t>
            </w:r>
            <w:r w:rsidR="00DD64C9">
              <w:rPr>
                <w:rFonts w:ascii="Calibri" w:hAnsi="Calibri"/>
                <w:bCs/>
                <w:color w:val="22517D"/>
                <w:sz w:val="22"/>
                <w:szCs w:val="22"/>
              </w:rPr>
              <w:t>,</w:t>
            </w:r>
            <w:r w:rsidR="008013D4">
              <w:rPr>
                <w:rFonts w:ascii="Calibri" w:hAnsi="Calibri"/>
                <w:bCs/>
                <w:color w:val="22517D"/>
                <w:sz w:val="22"/>
                <w:szCs w:val="22"/>
              </w:rPr>
              <w:t>1</w:t>
            </w:r>
            <w:r w:rsidR="00DD64C9">
              <w:rPr>
                <w:rFonts w:ascii="Calibri" w:hAnsi="Calibri"/>
                <w:bCs/>
                <w:color w:val="22517D"/>
                <w:sz w:val="22"/>
                <w:szCs w:val="22"/>
              </w:rPr>
              <w:t>%)</w:t>
            </w:r>
            <w:r w:rsidR="007D22E8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. </w:t>
            </w:r>
            <w:r w:rsidR="007D22E8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Подорожчали </w:t>
            </w:r>
            <w:r w:rsidR="0014614C">
              <w:rPr>
                <w:rFonts w:ascii="Calibri" w:hAnsi="Calibri"/>
                <w:bCs/>
                <w:color w:val="22517D"/>
                <w:sz w:val="22"/>
                <w:szCs w:val="22"/>
              </w:rPr>
              <w:t>продукти переробки зернових,</w:t>
            </w:r>
            <w:r w:rsidR="001461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</w:t>
            </w:r>
            <w:r w:rsidR="008013D4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риб</w:t>
            </w:r>
            <w:r w:rsidR="008013D4">
              <w:rPr>
                <w:rFonts w:ascii="Calibri" w:hAnsi="Calibri"/>
                <w:bCs/>
                <w:color w:val="22517D"/>
                <w:sz w:val="22"/>
                <w:szCs w:val="22"/>
              </w:rPr>
              <w:t>а</w:t>
            </w:r>
            <w:r w:rsidR="008013D4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та продукти з риби, </w:t>
            </w:r>
            <w:r w:rsidR="001461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кисломолочн</w:t>
            </w:r>
            <w:r w:rsidR="0014614C">
              <w:rPr>
                <w:rFonts w:ascii="Calibri" w:hAnsi="Calibri"/>
                <w:bCs/>
                <w:color w:val="22517D"/>
                <w:sz w:val="22"/>
                <w:szCs w:val="22"/>
              </w:rPr>
              <w:t>а</w:t>
            </w:r>
            <w:r w:rsidR="001461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продукці</w:t>
            </w:r>
            <w:r w:rsidR="0014614C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я, </w:t>
            </w:r>
            <w:r w:rsidR="008013D4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овочі</w:t>
            </w:r>
            <w:r w:rsidR="008013D4">
              <w:rPr>
                <w:rFonts w:ascii="Calibri" w:hAnsi="Calibri"/>
                <w:bCs/>
                <w:color w:val="22517D"/>
                <w:sz w:val="22"/>
                <w:szCs w:val="22"/>
              </w:rPr>
              <w:t>,</w:t>
            </w:r>
            <w:r w:rsidR="008013D4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сало</w:t>
            </w:r>
            <w:r w:rsidR="008013D4">
              <w:rPr>
                <w:rFonts w:ascii="Calibri" w:hAnsi="Calibri"/>
                <w:bCs/>
                <w:color w:val="22517D"/>
                <w:sz w:val="22"/>
                <w:szCs w:val="22"/>
              </w:rPr>
              <w:t>,</w:t>
            </w:r>
            <w:r w:rsidR="008013D4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соняшников</w:t>
            </w:r>
            <w:r w:rsidR="008013D4">
              <w:rPr>
                <w:rFonts w:ascii="Calibri" w:hAnsi="Calibri"/>
                <w:bCs/>
                <w:color w:val="22517D"/>
                <w:sz w:val="22"/>
                <w:szCs w:val="22"/>
              </w:rPr>
              <w:t>а</w:t>
            </w:r>
            <w:r w:rsidR="008013D4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олі</w:t>
            </w:r>
            <w:r w:rsidR="008013D4">
              <w:rPr>
                <w:rFonts w:ascii="Calibri" w:hAnsi="Calibri"/>
                <w:bCs/>
                <w:color w:val="22517D"/>
                <w:sz w:val="22"/>
                <w:szCs w:val="22"/>
              </w:rPr>
              <w:t>я</w:t>
            </w:r>
            <w:r w:rsidR="008013D4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, яловичин</w:t>
            </w:r>
            <w:r w:rsidR="008013D4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а </w:t>
            </w:r>
            <w:r w:rsidR="008013D4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і телятин</w:t>
            </w:r>
            <w:r w:rsidR="008013D4">
              <w:rPr>
                <w:rFonts w:ascii="Calibri" w:hAnsi="Calibri"/>
                <w:bCs/>
                <w:color w:val="22517D"/>
                <w:sz w:val="22"/>
                <w:szCs w:val="22"/>
              </w:rPr>
              <w:t>а</w:t>
            </w:r>
            <w:r w:rsidR="008013D4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, молоко</w:t>
            </w:r>
            <w:r w:rsidR="008013D4">
              <w:rPr>
                <w:rFonts w:ascii="Calibri" w:hAnsi="Calibri"/>
                <w:bCs/>
                <w:color w:val="22517D"/>
                <w:sz w:val="22"/>
                <w:szCs w:val="22"/>
              </w:rPr>
              <w:t>,</w:t>
            </w:r>
            <w:r w:rsidR="008013D4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макаронні вироби, </w:t>
            </w:r>
            <w:r w:rsidR="008013D4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сметана, </w:t>
            </w:r>
            <w:r w:rsidR="001461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м'ясо птиці</w:t>
            </w:r>
            <w:r w:rsidR="0014614C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, хліб, </w:t>
            </w:r>
            <w:r w:rsidR="0014614C">
              <w:rPr>
                <w:rFonts w:ascii="Calibri" w:hAnsi="Calibri"/>
                <w:color w:val="22517D"/>
                <w:sz w:val="22"/>
                <w:szCs w:val="22"/>
              </w:rPr>
              <w:t>безалкогольні напої</w:t>
            </w:r>
            <w:r w:rsidR="00460BBC"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на </w:t>
            </w:r>
            <w:r w:rsidR="008013D4">
              <w:rPr>
                <w:rFonts w:ascii="Calibri" w:hAnsi="Calibri"/>
                <w:bCs/>
                <w:color w:val="22517D"/>
                <w:sz w:val="22"/>
                <w:szCs w:val="22"/>
              </w:rPr>
              <w:t>4,</w:t>
            </w:r>
            <w:r w:rsidR="007D22E8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5</w:t>
            </w:r>
            <w:r w:rsidR="007D22E8">
              <w:rPr>
                <w:rFonts w:ascii="Calibri" w:hAnsi="Calibri"/>
                <w:bCs/>
                <w:color w:val="22517D"/>
                <w:sz w:val="22"/>
                <w:szCs w:val="22"/>
              </w:rPr>
              <w:t>–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0,</w:t>
            </w:r>
            <w:r w:rsidR="008013D4">
              <w:rPr>
                <w:rFonts w:ascii="Calibri" w:hAnsi="Calibri"/>
                <w:bCs/>
                <w:color w:val="22517D"/>
                <w:sz w:val="22"/>
                <w:szCs w:val="22"/>
              </w:rPr>
              <w:t>6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%. 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Водночас подешевшали </w:t>
            </w:r>
            <w:r w:rsidR="008013D4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масло,</w:t>
            </w:r>
            <w:r w:rsidR="008013D4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фрукти</w:t>
            </w:r>
            <w:r w:rsidR="0014614C">
              <w:rPr>
                <w:rFonts w:ascii="Calibri" w:hAnsi="Calibri"/>
                <w:bCs/>
                <w:color w:val="22517D"/>
                <w:sz w:val="22"/>
                <w:szCs w:val="22"/>
              </w:rPr>
              <w:t>,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</w:t>
            </w:r>
            <w:r w:rsidR="001461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цукор,</w:t>
            </w:r>
            <w:r w:rsidR="0014614C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</w:t>
            </w:r>
            <w:r w:rsidR="008013D4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рис</w:t>
            </w:r>
            <w:r w:rsidR="008013D4">
              <w:rPr>
                <w:rFonts w:ascii="Calibri" w:hAnsi="Calibri"/>
                <w:bCs/>
                <w:color w:val="22517D"/>
                <w:sz w:val="22"/>
                <w:szCs w:val="22"/>
              </w:rPr>
              <w:t>,</w:t>
            </w:r>
            <w:r w:rsidR="008013D4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свинина</w:t>
            </w:r>
            <w:r w:rsidR="008013D4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, </w:t>
            </w:r>
            <w:r w:rsidR="008013D4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сири</w:t>
            </w:r>
            <w:r w:rsidR="008013D4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на </w:t>
            </w:r>
            <w:r w:rsidR="008013D4">
              <w:rPr>
                <w:rFonts w:ascii="Calibri" w:hAnsi="Calibri"/>
                <w:bCs/>
                <w:color w:val="22517D"/>
                <w:sz w:val="22"/>
                <w:szCs w:val="22"/>
              </w:rPr>
              <w:t>6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,</w:t>
            </w:r>
            <w:r w:rsidR="008013D4">
              <w:rPr>
                <w:rFonts w:ascii="Calibri" w:hAnsi="Calibri"/>
                <w:bCs/>
                <w:color w:val="22517D"/>
                <w:sz w:val="22"/>
                <w:szCs w:val="22"/>
              </w:rPr>
              <w:t>2</w:t>
            </w:r>
            <w:r w:rsidR="0014614C">
              <w:rPr>
                <w:rFonts w:ascii="Calibri" w:hAnsi="Calibri"/>
                <w:bCs/>
                <w:color w:val="22517D"/>
                <w:sz w:val="22"/>
                <w:szCs w:val="22"/>
              </w:rPr>
              <w:t>–0,</w:t>
            </w:r>
            <w:r w:rsidR="008013D4">
              <w:rPr>
                <w:rFonts w:ascii="Calibri" w:hAnsi="Calibri"/>
                <w:bCs/>
                <w:color w:val="22517D"/>
                <w:sz w:val="22"/>
                <w:szCs w:val="22"/>
              </w:rPr>
              <w:t>8</w:t>
            </w:r>
            <w:r w:rsidR="0014614C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%. </w:t>
            </w:r>
          </w:p>
          <w:p w:rsidR="002A721C" w:rsidRDefault="00734409" w:rsidP="00A82AC1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Ціни на ал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когольні напої та тютюнові вироби</w:t>
            </w:r>
            <w:r w:rsidR="0052382F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з</w:t>
            </w:r>
            <w:r w:rsidR="008013D4">
              <w:rPr>
                <w:rFonts w:ascii="Calibri" w:hAnsi="Calibri"/>
                <w:color w:val="22517D"/>
                <w:sz w:val="22"/>
                <w:szCs w:val="22"/>
              </w:rPr>
              <w:t>низилися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 на </w:t>
            </w:r>
            <w:r w:rsidR="002A721C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2A721C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%, </w:t>
            </w:r>
            <w:r w:rsidR="00D73761">
              <w:rPr>
                <w:rFonts w:ascii="Calibri" w:hAnsi="Calibri"/>
                <w:color w:val="22517D"/>
                <w:sz w:val="22"/>
                <w:szCs w:val="22"/>
              </w:rPr>
              <w:t xml:space="preserve">що пов'язано з </w:t>
            </w:r>
            <w:r w:rsidR="00B7191F">
              <w:rPr>
                <w:rFonts w:ascii="Calibri" w:hAnsi="Calibri"/>
                <w:color w:val="22517D"/>
                <w:sz w:val="22"/>
                <w:szCs w:val="22"/>
              </w:rPr>
              <w:t>з</w:t>
            </w:r>
            <w:r w:rsidR="00D73761">
              <w:rPr>
                <w:rFonts w:ascii="Calibri" w:hAnsi="Calibri"/>
                <w:color w:val="22517D"/>
                <w:sz w:val="22"/>
                <w:szCs w:val="22"/>
              </w:rPr>
              <w:t>д</w:t>
            </w:r>
            <w:r w:rsidR="008013D4">
              <w:rPr>
                <w:rFonts w:ascii="Calibri" w:hAnsi="Calibri"/>
                <w:color w:val="22517D"/>
                <w:sz w:val="22"/>
                <w:szCs w:val="22"/>
              </w:rPr>
              <w:t>ешев</w:t>
            </w:r>
            <w:r w:rsidR="00B7191F">
              <w:rPr>
                <w:rFonts w:ascii="Calibri" w:hAnsi="Calibri"/>
                <w:color w:val="22517D"/>
                <w:sz w:val="22"/>
                <w:szCs w:val="22"/>
              </w:rPr>
              <w:t>ле</w:t>
            </w:r>
            <w:r w:rsidR="008013D4">
              <w:rPr>
                <w:rFonts w:ascii="Calibri" w:hAnsi="Calibri"/>
                <w:color w:val="22517D"/>
                <w:sz w:val="22"/>
                <w:szCs w:val="22"/>
              </w:rPr>
              <w:t>н</w:t>
            </w:r>
            <w:r w:rsidR="00D73761">
              <w:rPr>
                <w:rFonts w:ascii="Calibri" w:hAnsi="Calibri"/>
                <w:color w:val="22517D"/>
                <w:sz w:val="22"/>
                <w:szCs w:val="22"/>
              </w:rPr>
              <w:t xml:space="preserve">ням </w:t>
            </w:r>
            <w:r w:rsidR="00B7191F">
              <w:rPr>
                <w:rFonts w:ascii="Calibri" w:hAnsi="Calibri"/>
                <w:color w:val="22517D"/>
                <w:sz w:val="22"/>
                <w:szCs w:val="22"/>
              </w:rPr>
              <w:t xml:space="preserve">алкогольних напоїв 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="00B7191F"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B7191F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2A721C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</w:p>
          <w:p w:rsidR="00B7191F" w:rsidRDefault="00734409" w:rsidP="00A82AC1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Одяг і взуття под</w:t>
            </w:r>
            <w:r w:rsidR="00B7191F">
              <w:rPr>
                <w:rFonts w:ascii="Calibri" w:hAnsi="Calibri"/>
                <w:color w:val="22517D"/>
                <w:sz w:val="22"/>
                <w:szCs w:val="22"/>
              </w:rPr>
              <w:t>ешевш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али на </w:t>
            </w:r>
            <w:r w:rsidR="00B7191F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B7191F">
              <w:rPr>
                <w:rFonts w:ascii="Calibri" w:hAnsi="Calibri"/>
                <w:color w:val="22517D"/>
                <w:sz w:val="22"/>
                <w:szCs w:val="22"/>
              </w:rPr>
              <w:t>6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B7191F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</w:p>
          <w:p w:rsidR="00734409" w:rsidRPr="00734409" w:rsidRDefault="00B7191F" w:rsidP="00A82AC1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>
              <w:rPr>
                <w:rFonts w:ascii="Calibri" w:hAnsi="Calibri"/>
                <w:color w:val="22517D"/>
                <w:sz w:val="22"/>
                <w:szCs w:val="22"/>
              </w:rPr>
              <w:t>Зниже</w:t>
            </w:r>
            <w:r w:rsidR="00734409" w:rsidRPr="00734409">
              <w:rPr>
                <w:rFonts w:ascii="Calibri" w:hAnsi="Calibri"/>
                <w:color w:val="22517D"/>
                <w:sz w:val="22"/>
                <w:szCs w:val="22"/>
              </w:rPr>
              <w:t>ння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734409"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цін у сфері охорони здоров’я на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="00734409"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2A721C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="00734409"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% відбулося за рахунок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здешевле</w:t>
            </w:r>
            <w:r w:rsidR="00734409"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ння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фармацевтичної продукції, медичних товарів та обладнання на</w:t>
            </w:r>
            <w:r w:rsidR="002A721C">
              <w:rPr>
                <w:rFonts w:ascii="Calibri" w:hAnsi="Calibri"/>
                <w:color w:val="22517D"/>
                <w:sz w:val="22"/>
                <w:szCs w:val="22"/>
              </w:rPr>
              <w:t xml:space="preserve"> 1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,8</w:t>
            </w:r>
            <w:r w:rsidR="002A721C">
              <w:rPr>
                <w:rFonts w:ascii="Calibri" w:hAnsi="Calibri"/>
                <w:color w:val="22517D"/>
                <w:sz w:val="22"/>
                <w:szCs w:val="22"/>
              </w:rPr>
              <w:t>%.</w:t>
            </w:r>
            <w:r w:rsidR="00734409"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</w:p>
          <w:p w:rsidR="007D734A" w:rsidRPr="007D734A" w:rsidRDefault="007D734A" w:rsidP="007D734A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7D734A">
              <w:rPr>
                <w:rFonts w:ascii="Calibri" w:hAnsi="Calibri"/>
                <w:color w:val="22517D"/>
                <w:sz w:val="22"/>
                <w:szCs w:val="22"/>
              </w:rPr>
              <w:t>Ціни на транспорт зросли на 0,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Pr="007D734A">
              <w:rPr>
                <w:rFonts w:ascii="Calibri" w:hAnsi="Calibri"/>
                <w:color w:val="22517D"/>
                <w:sz w:val="22"/>
                <w:szCs w:val="22"/>
              </w:rPr>
              <w:t>% в основному через підвищення вартості палив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а</w:t>
            </w:r>
            <w:r w:rsidRPr="007D734A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A957FB">
              <w:rPr>
                <w:rFonts w:ascii="Calibri" w:hAnsi="Calibri"/>
                <w:color w:val="22517D"/>
                <w:sz w:val="22"/>
                <w:szCs w:val="22"/>
              </w:rPr>
              <w:t>та</w:t>
            </w:r>
            <w:r w:rsidRPr="007D734A">
              <w:rPr>
                <w:rFonts w:ascii="Calibri" w:hAnsi="Calibri"/>
                <w:color w:val="22517D"/>
                <w:sz w:val="22"/>
                <w:szCs w:val="22"/>
              </w:rPr>
              <w:t xml:space="preserve"> мастил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7D734A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7D734A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 w:rsidRPr="007D734A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A957FB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  <w:r w:rsidRPr="007D734A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</w:p>
          <w:p w:rsidR="00273B54" w:rsidRPr="00D25EC4" w:rsidRDefault="00273B54" w:rsidP="007D734A">
            <w:pPr>
              <w:ind w:firstLine="567"/>
              <w:jc w:val="both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</w:p>
        </w:tc>
        <w:tc>
          <w:tcPr>
            <w:tcW w:w="4749" w:type="dxa"/>
          </w:tcPr>
          <w:p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 xml:space="preserve">Зміни цін на продукти харчування </w:t>
            </w:r>
          </w:p>
          <w:p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:rsidR="006E3757" w:rsidRPr="003A2E2D" w:rsidRDefault="006E3757" w:rsidP="003A2E2D">
            <w:pPr>
              <w:ind w:left="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:rsidR="006E3757" w:rsidRPr="006E3757" w:rsidRDefault="003A2E2D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428838C4">
                  <wp:extent cx="3010535" cy="1130061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7"/>
                    </a:graphicData>
                  </a:graphic>
                </wp:inline>
              </w:drawing>
            </w:r>
            <w:r w:rsidR="006E3757"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:rsidR="006E3757" w:rsidRPr="006E3757" w:rsidRDefault="006E3757" w:rsidP="003A2E2D">
            <w:pPr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:rsidR="006E3757" w:rsidRPr="00E24775" w:rsidRDefault="006E3757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:rsidR="003A2E2D" w:rsidRPr="006E3757" w:rsidRDefault="00C203E8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3AAD53FD">
                  <wp:extent cx="3010535" cy="1130061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8"/>
                    </a:graphicData>
                  </a:graphic>
                </wp:inline>
              </w:drawing>
            </w:r>
          </w:p>
          <w:p w:rsidR="006E3757" w:rsidRPr="006E3757" w:rsidRDefault="006E3757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транспорт</w:t>
            </w:r>
          </w:p>
          <w:p w:rsidR="006E3757" w:rsidRPr="00E24775" w:rsidRDefault="006E3757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:rsidR="00E24775" w:rsidRPr="006E3757" w:rsidRDefault="00C203E8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5A30CD2B">
                  <wp:extent cx="3010535" cy="1130061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9"/>
                    </a:graphicData>
                  </a:graphic>
                </wp:inline>
              </w:drawing>
            </w:r>
          </w:p>
          <w:p w:rsidR="006E3757" w:rsidRPr="006E3757" w:rsidRDefault="006E3757" w:rsidP="006E3757">
            <w:pPr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:rsidTr="008753CA">
        <w:tc>
          <w:tcPr>
            <w:tcW w:w="9639" w:type="dxa"/>
            <w:gridSpan w:val="2"/>
            <w:hideMark/>
          </w:tcPr>
          <w:p w:rsidR="006E3757" w:rsidRPr="006E3757" w:rsidRDefault="006E3757" w:rsidP="006E3757">
            <w:pPr>
              <w:numPr>
                <w:ilvl w:val="0"/>
                <w:numId w:val="10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lastRenderedPageBreak/>
              <w:t>Географічне охоплення</w:t>
            </w:r>
          </w:p>
        </w:tc>
      </w:tr>
      <w:tr w:rsidR="006E3757" w:rsidRPr="006E3757" w:rsidTr="008753CA">
        <w:tc>
          <w:tcPr>
            <w:tcW w:w="9639" w:type="dxa"/>
            <w:gridSpan w:val="2"/>
          </w:tcPr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:rsidTr="008753CA">
        <w:tc>
          <w:tcPr>
            <w:tcW w:w="9639" w:type="dxa"/>
            <w:gridSpan w:val="2"/>
            <w:hideMark/>
          </w:tcPr>
          <w:p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:rsidTr="008753CA">
        <w:tc>
          <w:tcPr>
            <w:tcW w:w="9639" w:type="dxa"/>
            <w:gridSpan w:val="2"/>
          </w:tcPr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:rsidR="006E3757" w:rsidRPr="006E3757" w:rsidRDefault="006E3757" w:rsidP="00356050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:rsidTr="008753CA">
        <w:tc>
          <w:tcPr>
            <w:tcW w:w="9639" w:type="dxa"/>
            <w:gridSpan w:val="2"/>
            <w:hideMark/>
          </w:tcPr>
          <w:p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:rsidTr="008753CA">
        <w:tc>
          <w:tcPr>
            <w:tcW w:w="9639" w:type="dxa"/>
            <w:gridSpan w:val="2"/>
          </w:tcPr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(Євростатом),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:rsidR="00F46D25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Методологічні положення: </w:t>
            </w:r>
          </w:p>
          <w:p w:rsidR="006E3757" w:rsidRDefault="00092082" w:rsidP="006E3757">
            <w:pPr>
              <w:jc w:val="both"/>
              <w:rPr>
                <w:rFonts w:cs="Calibri"/>
                <w:color w:val="22517D"/>
                <w:u w:val="single"/>
              </w:rPr>
            </w:pPr>
            <w:hyperlink r:id="rId30" w:history="1">
              <w:r w:rsidR="00F46D25" w:rsidRPr="0081707A">
                <w:rPr>
                  <w:rFonts w:asciiTheme="minorHAnsi" w:hAnsiTheme="minorHAnsi" w:cstheme="minorHAnsi"/>
                  <w:color w:val="22517D"/>
                  <w:sz w:val="22"/>
                  <w:szCs w:val="22"/>
                  <w:u w:val="single"/>
                </w:rPr>
                <w:t>https://stat.gov.ua/sites/default/files/migration/files/2023/190_2023/190_2023.pdf</w:t>
              </w:r>
            </w:hyperlink>
            <w:r w:rsidR="00F46D25" w:rsidRPr="0081707A">
              <w:rPr>
                <w:rFonts w:asciiTheme="minorHAnsi" w:hAnsiTheme="minorHAnsi" w:cstheme="minorHAnsi"/>
                <w:color w:val="22517D"/>
                <w:sz w:val="22"/>
                <w:szCs w:val="22"/>
                <w:u w:val="single"/>
              </w:rPr>
              <w:t>.</w:t>
            </w:r>
          </w:p>
          <w:p w:rsidR="00246029" w:rsidRPr="006E3757" w:rsidRDefault="00246029" w:rsidP="006E3757">
            <w:pPr>
              <w:jc w:val="both"/>
              <w:rPr>
                <w:rFonts w:cs="Calibri"/>
                <w:color w:val="22517D"/>
                <w:u w:val="single"/>
              </w:rPr>
            </w:pPr>
          </w:p>
        </w:tc>
      </w:tr>
      <w:tr w:rsidR="006E3757" w:rsidRPr="006E3757" w:rsidTr="008753CA">
        <w:tc>
          <w:tcPr>
            <w:tcW w:w="9639" w:type="dxa"/>
            <w:gridSpan w:val="2"/>
            <w:hideMark/>
          </w:tcPr>
          <w:p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:rsidTr="008753CA">
        <w:tc>
          <w:tcPr>
            <w:tcW w:w="9639" w:type="dxa"/>
            <w:gridSpan w:val="2"/>
            <w:hideMark/>
          </w:tcPr>
          <w:p w:rsidR="006E3757" w:rsidRPr="006E3757" w:rsidRDefault="006E3757" w:rsidP="006E3757">
            <w:pPr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:rsidR="00464B9F" w:rsidRPr="006E3757" w:rsidRDefault="00464B9F" w:rsidP="00464B9F">
      <w:pPr>
        <w:pStyle w:val="--12"/>
        <w:ind w:firstLine="0"/>
        <w:rPr>
          <w:b/>
        </w:rPr>
      </w:pPr>
    </w:p>
    <w:p w:rsidR="00464B9F" w:rsidRDefault="00464B9F" w:rsidP="00464B9F">
      <w:pPr>
        <w:pStyle w:val="--12"/>
        <w:ind w:firstLine="0"/>
        <w:rPr>
          <w:b/>
        </w:rPr>
      </w:pPr>
    </w:p>
    <w:p w:rsidR="00464B9F" w:rsidRPr="001551BB" w:rsidRDefault="00464B9F" w:rsidP="00464B9F">
      <w:pPr>
        <w:pStyle w:val="--12"/>
        <w:ind w:firstLine="0"/>
        <w:rPr>
          <w:b/>
        </w:rPr>
      </w:pPr>
    </w:p>
    <w:p w:rsidR="00183730" w:rsidRDefault="00183730" w:rsidP="00183730">
      <w:pPr>
        <w:pStyle w:val="--12"/>
        <w:ind w:firstLine="0"/>
      </w:pPr>
    </w:p>
    <w:p w:rsidR="00183730" w:rsidRDefault="00183730" w:rsidP="00183730">
      <w:pPr>
        <w:pStyle w:val="--12"/>
        <w:ind w:firstLine="0"/>
      </w:pPr>
    </w:p>
    <w:p w:rsidR="00183730" w:rsidRDefault="0018373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Pr="00356050" w:rsidRDefault="00356050" w:rsidP="00356050">
      <w:pPr>
        <w:pStyle w:val="--12"/>
        <w:ind w:firstLine="0"/>
      </w:pPr>
    </w:p>
    <w:p w:rsidR="00356050" w:rsidRDefault="00356050" w:rsidP="00356050">
      <w:pPr>
        <w:pStyle w:val="--12"/>
        <w:ind w:firstLine="0"/>
      </w:pPr>
    </w:p>
    <w:p w:rsidR="00356050" w:rsidRDefault="00356050" w:rsidP="00356050">
      <w:pPr>
        <w:pStyle w:val="--12"/>
        <w:ind w:firstLine="0"/>
      </w:pPr>
    </w:p>
    <w:p w:rsidR="00356050" w:rsidRPr="00A91446" w:rsidRDefault="00356050" w:rsidP="00356050">
      <w:pPr>
        <w:pStyle w:val="--12"/>
        <w:ind w:firstLine="0"/>
        <w:rPr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356050" w:rsidRPr="00A91446" w:rsidTr="00356050">
        <w:tc>
          <w:tcPr>
            <w:tcW w:w="9623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:rsidR="00356050" w:rsidRPr="003622DD" w:rsidRDefault="00FB1FEC" w:rsidP="00356050">
            <w:pPr>
              <w:ind w:left="57"/>
              <w:rPr>
                <w:rFonts w:ascii="Calibri Light" w:hAnsi="Calibri Light" w:cs="Calibri Light"/>
                <w:color w:val="666666"/>
              </w:rPr>
            </w:pPr>
            <w:bookmarkStart w:id="1" w:name="_Hlk208852845"/>
            <w:r w:rsidRPr="003622DD">
              <w:rPr>
                <w:rFonts w:ascii="Calibri Light" w:hAnsi="Calibri Light" w:cs="Calibri Light"/>
                <w:color w:val="666666"/>
              </w:rPr>
              <w:t>Довідка: тел. (0332) 28-51-79, e-maіl: lutsk@lutsk.ukrstat.gov.ua</w:t>
            </w:r>
          </w:p>
          <w:p w:rsidR="00FB1FEC" w:rsidRPr="003622DD" w:rsidRDefault="00FB1FEC" w:rsidP="00FB1FEC">
            <w:pPr>
              <w:ind w:left="57"/>
              <w:rPr>
                <w:rFonts w:ascii="Calibri Light" w:hAnsi="Calibri Light" w:cs="Calibri Light"/>
                <w:color w:val="666666"/>
              </w:rPr>
            </w:pPr>
            <w:r w:rsidRPr="003622DD">
              <w:rPr>
                <w:rFonts w:ascii="Calibri Light" w:hAnsi="Calibri Light" w:cs="Calibri Light"/>
                <w:color w:val="666666"/>
              </w:rPr>
              <w:t xml:space="preserve">Більше інформації: </w:t>
            </w:r>
            <w:hyperlink r:id="rId31" w:history="1">
              <w:r w:rsidR="00BA7033" w:rsidRPr="00546302">
                <w:rPr>
                  <w:rFonts w:asciiTheme="majorHAnsi" w:hAnsiTheme="majorHAnsi"/>
                  <w:color w:val="666666"/>
                </w:rPr>
                <w:t>http://www.lutsk.ukrstat.gov.ua/cini.htm</w:t>
              </w:r>
              <w:r w:rsidR="00BA7033" w:rsidRPr="00546302">
                <w:rPr>
                  <w:rFonts w:asciiTheme="majorHAnsi" w:hAnsiTheme="majorHAnsi" w:cs="Calibri Light"/>
                  <w:color w:val="666666"/>
                </w:rPr>
                <w:t>l</w:t>
              </w:r>
            </w:hyperlink>
            <w:bookmarkStart w:id="2" w:name="_GoBack"/>
            <w:bookmarkEnd w:id="2"/>
          </w:p>
          <w:p w:rsidR="00356050" w:rsidRPr="00A91446" w:rsidRDefault="00FB1FEC" w:rsidP="00356050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622DD">
              <w:rPr>
                <w:rFonts w:ascii="Calibri Light" w:hAnsi="Calibri Light" w:cs="Calibri Light"/>
                <w:color w:val="666666"/>
              </w:rPr>
              <w:t>© Головне управління статистики у Волинській області, 2025</w:t>
            </w:r>
          </w:p>
        </w:tc>
      </w:tr>
      <w:bookmarkEnd w:id="0"/>
      <w:bookmarkEnd w:id="1"/>
    </w:tbl>
    <w:p w:rsidR="00356050" w:rsidRPr="00356050" w:rsidRDefault="00356050" w:rsidP="00356050">
      <w:pPr>
        <w:pStyle w:val="--12"/>
        <w:ind w:firstLine="0"/>
        <w:rPr>
          <w:sz w:val="10"/>
          <w:szCs w:val="10"/>
        </w:rPr>
      </w:pPr>
    </w:p>
    <w:sectPr w:rsidR="00356050" w:rsidRP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943" w:rsidRDefault="00C26943" w:rsidP="005345A4">
      <w:r>
        <w:separator/>
      </w:r>
    </w:p>
  </w:endnote>
  <w:endnote w:type="continuationSeparator" w:id="0">
    <w:p w:rsidR="00C26943" w:rsidRDefault="00C26943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092082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943" w:rsidRDefault="00C26943" w:rsidP="005345A4">
      <w:r>
        <w:separator/>
      </w:r>
    </w:p>
  </w:footnote>
  <w:footnote w:type="continuationSeparator" w:id="0">
    <w:p w:rsidR="00C26943" w:rsidRDefault="00C26943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8.7pt;height:38.7pt;visibility:visible;mso-wrap-style:square" o:bullet="t">
        <v:imagedata r:id="rId1" o:title=""/>
      </v:shape>
    </w:pict>
  </w:numPicBullet>
  <w:numPicBullet w:numPicBulletId="1">
    <w:pict>
      <v:shape id="_x0000_i1039" type="#_x0000_t75" style="width:38.7pt;height:38.7pt;visibility:visible;mso-wrap-style:square" o:bullet="t">
        <v:imagedata r:id="rId2" o:title=""/>
      </v:shape>
    </w:pict>
  </w:numPicBullet>
  <w:numPicBullet w:numPicBulletId="2">
    <w:pict>
      <v:shape id="_x0000_i1040" type="#_x0000_t75" style="width:38.7pt;height:38.7pt;visibility:visible;mso-wrap-style:square" o:bullet="t">
        <v:imagedata r:id="rId3" o:title=""/>
      </v:shape>
    </w:pict>
  </w:numPicBullet>
  <w:numPicBullet w:numPicBulletId="3">
    <w:pict>
      <v:shape id="_x0000_i1041" type="#_x0000_t75" style="width:38.7pt;height:38.7pt;visibility:visible;mso-wrap-style:square" o:bullet="t">
        <v:imagedata r:id="rId4" o:title=""/>
      </v:shape>
    </w:pict>
  </w:numPicBullet>
  <w:numPicBullet w:numPicBulletId="4">
    <w:pict>
      <v:shape id="_x0000_i1042" type="#_x0000_t75" style="width:38.7pt;height:38.7pt;visibility:visible;mso-wrap-style:square" o:bullet="t">
        <v:imagedata r:id="rId5" o:title=""/>
      </v:shape>
    </w:pict>
  </w:numPicBullet>
  <w:numPicBullet w:numPicBulletId="5">
    <w:pict>
      <v:shape id="_x0000_i1043" type="#_x0000_t75" style="width:38.7pt;height:38.7pt;visibility:visible;mso-wrap-style:square" o:bullet="t">
        <v:imagedata r:id="rId6" o:title=""/>
      </v:shape>
    </w:pict>
  </w:numPicBullet>
  <w:numPicBullet w:numPicBulletId="6">
    <w:pict>
      <v:shape id="_x0000_i1044" type="#_x0000_t75" style="width:38.7pt;height:38.7pt;visibility:visible;mso-wrap-style:square" o:bullet="t">
        <v:imagedata r:id="rId7" o:title=""/>
      </v:shape>
    </w:pict>
  </w:numPicBullet>
  <w:numPicBullet w:numPicBulletId="7">
    <w:pict>
      <v:shape id="_x0000_i1045" type="#_x0000_t75" style="width:38.7pt;height:38.7pt;visibility:visible;mso-wrap-style:square" o:bullet="t">
        <v:imagedata r:id="rId8" o:title=""/>
      </v:shape>
    </w:pict>
  </w:numPicBullet>
  <w:numPicBullet w:numPicBulletId="8">
    <w:pict>
      <v:shape id="_x0000_i1046" type="#_x0000_t75" style="width:38.7pt;height:38.7pt;visibility:visible;mso-wrap-style:square" o:bullet="t">
        <v:imagedata r:id="rId9" o:title=""/>
      </v:shape>
    </w:pict>
  </w:numPicBullet>
  <w:numPicBullet w:numPicBulletId="9">
    <w:pict>
      <v:shape id="_x0000_i1047" type="#_x0000_t75" style="width:38.7pt;height:38.7pt;visibility:visible;mso-wrap-style:square" o:bullet="t">
        <v:imagedata r:id="rId10" o:title=""/>
      </v:shape>
    </w:pict>
  </w:numPicBullet>
  <w:numPicBullet w:numPicBulletId="10">
    <w:pict>
      <v:shape id="_x0000_i1048" type="#_x0000_t75" style="width:38.7pt;height:38.7pt;visibility:visible;mso-wrap-style:square" o:bullet="t">
        <v:imagedata r:id="rId11" o:title=""/>
      </v:shape>
    </w:pict>
  </w:numPicBullet>
  <w:numPicBullet w:numPicBulletId="11">
    <w:pict>
      <v:shape id="_x0000_i1049" type="#_x0000_t75" alt="Конверт" style="width:6.35pt;height:6.35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2FE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41B9"/>
    <w:rsid w:val="00034F9E"/>
    <w:rsid w:val="00036C25"/>
    <w:rsid w:val="00036E1E"/>
    <w:rsid w:val="00041033"/>
    <w:rsid w:val="00041E05"/>
    <w:rsid w:val="00045C8C"/>
    <w:rsid w:val="00062027"/>
    <w:rsid w:val="00062038"/>
    <w:rsid w:val="00062D72"/>
    <w:rsid w:val="0007552B"/>
    <w:rsid w:val="000802BE"/>
    <w:rsid w:val="00083C4E"/>
    <w:rsid w:val="00085165"/>
    <w:rsid w:val="0008554B"/>
    <w:rsid w:val="000865FC"/>
    <w:rsid w:val="00086AAE"/>
    <w:rsid w:val="00090B54"/>
    <w:rsid w:val="000914E6"/>
    <w:rsid w:val="00092082"/>
    <w:rsid w:val="00093519"/>
    <w:rsid w:val="00093BA1"/>
    <w:rsid w:val="000977E4"/>
    <w:rsid w:val="000978C4"/>
    <w:rsid w:val="000A1E70"/>
    <w:rsid w:val="000A2AAD"/>
    <w:rsid w:val="000A2EB3"/>
    <w:rsid w:val="000A4116"/>
    <w:rsid w:val="000A489E"/>
    <w:rsid w:val="000A7C0C"/>
    <w:rsid w:val="000B2664"/>
    <w:rsid w:val="000B6673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E5D6C"/>
    <w:rsid w:val="000F04FD"/>
    <w:rsid w:val="000F08C6"/>
    <w:rsid w:val="000F38ED"/>
    <w:rsid w:val="000F5A68"/>
    <w:rsid w:val="000F62EB"/>
    <w:rsid w:val="000F715A"/>
    <w:rsid w:val="00100992"/>
    <w:rsid w:val="001015AB"/>
    <w:rsid w:val="00101961"/>
    <w:rsid w:val="001024D6"/>
    <w:rsid w:val="00103CE6"/>
    <w:rsid w:val="00105D1A"/>
    <w:rsid w:val="00106909"/>
    <w:rsid w:val="001069E5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4614C"/>
    <w:rsid w:val="00150477"/>
    <w:rsid w:val="00150E83"/>
    <w:rsid w:val="00151812"/>
    <w:rsid w:val="00152DB9"/>
    <w:rsid w:val="00154877"/>
    <w:rsid w:val="001551BB"/>
    <w:rsid w:val="001552BC"/>
    <w:rsid w:val="001553ED"/>
    <w:rsid w:val="00156C7E"/>
    <w:rsid w:val="00160825"/>
    <w:rsid w:val="00160EB7"/>
    <w:rsid w:val="001631D6"/>
    <w:rsid w:val="0016401D"/>
    <w:rsid w:val="00165215"/>
    <w:rsid w:val="001658D8"/>
    <w:rsid w:val="0017140C"/>
    <w:rsid w:val="001735B4"/>
    <w:rsid w:val="00173727"/>
    <w:rsid w:val="00176453"/>
    <w:rsid w:val="00177C5D"/>
    <w:rsid w:val="00181A10"/>
    <w:rsid w:val="00183730"/>
    <w:rsid w:val="001909B1"/>
    <w:rsid w:val="0019449F"/>
    <w:rsid w:val="001969D7"/>
    <w:rsid w:val="001972A8"/>
    <w:rsid w:val="00197F57"/>
    <w:rsid w:val="001A05A7"/>
    <w:rsid w:val="001A33DE"/>
    <w:rsid w:val="001A3F59"/>
    <w:rsid w:val="001B09AA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37B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1F78DB"/>
    <w:rsid w:val="0020013A"/>
    <w:rsid w:val="00200BF7"/>
    <w:rsid w:val="0020157E"/>
    <w:rsid w:val="002027D7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46029"/>
    <w:rsid w:val="002530AB"/>
    <w:rsid w:val="0025430D"/>
    <w:rsid w:val="00254775"/>
    <w:rsid w:val="00256FF8"/>
    <w:rsid w:val="00260148"/>
    <w:rsid w:val="00260BB1"/>
    <w:rsid w:val="00264E6D"/>
    <w:rsid w:val="00270FC0"/>
    <w:rsid w:val="002710E0"/>
    <w:rsid w:val="00273B54"/>
    <w:rsid w:val="00275999"/>
    <w:rsid w:val="00280DD8"/>
    <w:rsid w:val="002823AD"/>
    <w:rsid w:val="0028317C"/>
    <w:rsid w:val="0028485E"/>
    <w:rsid w:val="00287D35"/>
    <w:rsid w:val="002922F3"/>
    <w:rsid w:val="0029251B"/>
    <w:rsid w:val="00294482"/>
    <w:rsid w:val="00294E8D"/>
    <w:rsid w:val="002A1436"/>
    <w:rsid w:val="002A2794"/>
    <w:rsid w:val="002A31AA"/>
    <w:rsid w:val="002A721C"/>
    <w:rsid w:val="002A7545"/>
    <w:rsid w:val="002C18E4"/>
    <w:rsid w:val="002C19E3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0BEB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707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4E60"/>
    <w:rsid w:val="00355962"/>
    <w:rsid w:val="00356050"/>
    <w:rsid w:val="00357A0C"/>
    <w:rsid w:val="003622DD"/>
    <w:rsid w:val="00363078"/>
    <w:rsid w:val="003644C8"/>
    <w:rsid w:val="0036625E"/>
    <w:rsid w:val="003666C0"/>
    <w:rsid w:val="00371BCE"/>
    <w:rsid w:val="0037204B"/>
    <w:rsid w:val="0037273F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A2E2D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09F6"/>
    <w:rsid w:val="003C14B3"/>
    <w:rsid w:val="003C335B"/>
    <w:rsid w:val="003C3D99"/>
    <w:rsid w:val="003C50DA"/>
    <w:rsid w:val="003C6F2B"/>
    <w:rsid w:val="003D03D1"/>
    <w:rsid w:val="003D09E7"/>
    <w:rsid w:val="003D1E35"/>
    <w:rsid w:val="003D200C"/>
    <w:rsid w:val="003D237C"/>
    <w:rsid w:val="003D3A5B"/>
    <w:rsid w:val="003D5C18"/>
    <w:rsid w:val="003E2BEA"/>
    <w:rsid w:val="003E2F76"/>
    <w:rsid w:val="003E5A8D"/>
    <w:rsid w:val="003E7A35"/>
    <w:rsid w:val="003F219A"/>
    <w:rsid w:val="003F7681"/>
    <w:rsid w:val="00401D3F"/>
    <w:rsid w:val="00403106"/>
    <w:rsid w:val="00404956"/>
    <w:rsid w:val="00404B3A"/>
    <w:rsid w:val="00407892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0E77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18C"/>
    <w:rsid w:val="00452655"/>
    <w:rsid w:val="00452E6F"/>
    <w:rsid w:val="0045497D"/>
    <w:rsid w:val="00455B4B"/>
    <w:rsid w:val="00457B82"/>
    <w:rsid w:val="00460BBC"/>
    <w:rsid w:val="00460FC6"/>
    <w:rsid w:val="00463544"/>
    <w:rsid w:val="00464B9F"/>
    <w:rsid w:val="004650F4"/>
    <w:rsid w:val="0046766F"/>
    <w:rsid w:val="00471705"/>
    <w:rsid w:val="0047250F"/>
    <w:rsid w:val="00472928"/>
    <w:rsid w:val="00476523"/>
    <w:rsid w:val="00476D3A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B393E"/>
    <w:rsid w:val="004C0BE4"/>
    <w:rsid w:val="004C104B"/>
    <w:rsid w:val="004C5CAB"/>
    <w:rsid w:val="004C635E"/>
    <w:rsid w:val="004C7AC1"/>
    <w:rsid w:val="004D19D0"/>
    <w:rsid w:val="004D1E8E"/>
    <w:rsid w:val="004D2D6B"/>
    <w:rsid w:val="004D4FC9"/>
    <w:rsid w:val="004D51EB"/>
    <w:rsid w:val="004D72D4"/>
    <w:rsid w:val="004D74C3"/>
    <w:rsid w:val="004E1916"/>
    <w:rsid w:val="004E2DB5"/>
    <w:rsid w:val="004E3384"/>
    <w:rsid w:val="004E3D82"/>
    <w:rsid w:val="004E655B"/>
    <w:rsid w:val="004F0AAE"/>
    <w:rsid w:val="004F0CCC"/>
    <w:rsid w:val="004F2129"/>
    <w:rsid w:val="004F3936"/>
    <w:rsid w:val="004F6898"/>
    <w:rsid w:val="0050459D"/>
    <w:rsid w:val="005058BB"/>
    <w:rsid w:val="005070F4"/>
    <w:rsid w:val="005128F4"/>
    <w:rsid w:val="0052004B"/>
    <w:rsid w:val="0052077A"/>
    <w:rsid w:val="00521B65"/>
    <w:rsid w:val="0052382F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3644"/>
    <w:rsid w:val="00545A7F"/>
    <w:rsid w:val="00546950"/>
    <w:rsid w:val="00547AC8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3DF2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39EB"/>
    <w:rsid w:val="005B50D4"/>
    <w:rsid w:val="005B5E7D"/>
    <w:rsid w:val="005C2EC8"/>
    <w:rsid w:val="005C546A"/>
    <w:rsid w:val="005C615B"/>
    <w:rsid w:val="005C6559"/>
    <w:rsid w:val="005D0346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6B3C"/>
    <w:rsid w:val="005E77C4"/>
    <w:rsid w:val="005E7DF3"/>
    <w:rsid w:val="005F3CCA"/>
    <w:rsid w:val="005F59BA"/>
    <w:rsid w:val="00600EC5"/>
    <w:rsid w:val="00602F23"/>
    <w:rsid w:val="006035D6"/>
    <w:rsid w:val="00603D32"/>
    <w:rsid w:val="00604193"/>
    <w:rsid w:val="006057B5"/>
    <w:rsid w:val="00611927"/>
    <w:rsid w:val="0061206A"/>
    <w:rsid w:val="00612DDA"/>
    <w:rsid w:val="00613FC2"/>
    <w:rsid w:val="0061790E"/>
    <w:rsid w:val="00620AE7"/>
    <w:rsid w:val="00625F53"/>
    <w:rsid w:val="00626BC1"/>
    <w:rsid w:val="00627D64"/>
    <w:rsid w:val="00636A5D"/>
    <w:rsid w:val="00641EE2"/>
    <w:rsid w:val="006438DC"/>
    <w:rsid w:val="00651839"/>
    <w:rsid w:val="0065298B"/>
    <w:rsid w:val="00653544"/>
    <w:rsid w:val="00656AB2"/>
    <w:rsid w:val="00663AD3"/>
    <w:rsid w:val="006643E9"/>
    <w:rsid w:val="0066610D"/>
    <w:rsid w:val="0067167D"/>
    <w:rsid w:val="00672614"/>
    <w:rsid w:val="0067354A"/>
    <w:rsid w:val="0067392A"/>
    <w:rsid w:val="006778D4"/>
    <w:rsid w:val="00680879"/>
    <w:rsid w:val="00680B3F"/>
    <w:rsid w:val="0068157D"/>
    <w:rsid w:val="00686F7B"/>
    <w:rsid w:val="00687887"/>
    <w:rsid w:val="00693570"/>
    <w:rsid w:val="00693F3B"/>
    <w:rsid w:val="00696273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3DD7"/>
    <w:rsid w:val="006B6E31"/>
    <w:rsid w:val="006C27BC"/>
    <w:rsid w:val="006C2DD6"/>
    <w:rsid w:val="006C3774"/>
    <w:rsid w:val="006C3B3C"/>
    <w:rsid w:val="006C779A"/>
    <w:rsid w:val="006D0034"/>
    <w:rsid w:val="006D1B8F"/>
    <w:rsid w:val="006D3772"/>
    <w:rsid w:val="006D3D0B"/>
    <w:rsid w:val="006D7347"/>
    <w:rsid w:val="006E032D"/>
    <w:rsid w:val="006E079C"/>
    <w:rsid w:val="006E33AA"/>
    <w:rsid w:val="006E3757"/>
    <w:rsid w:val="006E6987"/>
    <w:rsid w:val="006E6FE7"/>
    <w:rsid w:val="006F1098"/>
    <w:rsid w:val="006F268F"/>
    <w:rsid w:val="006F779B"/>
    <w:rsid w:val="007003E1"/>
    <w:rsid w:val="00700E4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34409"/>
    <w:rsid w:val="00737A6F"/>
    <w:rsid w:val="007417D8"/>
    <w:rsid w:val="007417FE"/>
    <w:rsid w:val="007435D2"/>
    <w:rsid w:val="007446AD"/>
    <w:rsid w:val="007446E7"/>
    <w:rsid w:val="00745FF6"/>
    <w:rsid w:val="00746098"/>
    <w:rsid w:val="00747931"/>
    <w:rsid w:val="00750068"/>
    <w:rsid w:val="007510FE"/>
    <w:rsid w:val="00751BAC"/>
    <w:rsid w:val="007524AE"/>
    <w:rsid w:val="00753C1B"/>
    <w:rsid w:val="00756E3D"/>
    <w:rsid w:val="00757281"/>
    <w:rsid w:val="00764D14"/>
    <w:rsid w:val="00766689"/>
    <w:rsid w:val="00766BC3"/>
    <w:rsid w:val="00766EC8"/>
    <w:rsid w:val="007671B2"/>
    <w:rsid w:val="00776B29"/>
    <w:rsid w:val="00777F1A"/>
    <w:rsid w:val="0078111F"/>
    <w:rsid w:val="007818D2"/>
    <w:rsid w:val="00787094"/>
    <w:rsid w:val="007876BB"/>
    <w:rsid w:val="007920ED"/>
    <w:rsid w:val="00792CCB"/>
    <w:rsid w:val="00795BB0"/>
    <w:rsid w:val="007976C0"/>
    <w:rsid w:val="007B21AF"/>
    <w:rsid w:val="007B2A96"/>
    <w:rsid w:val="007B4B67"/>
    <w:rsid w:val="007B65F6"/>
    <w:rsid w:val="007C35C2"/>
    <w:rsid w:val="007D1180"/>
    <w:rsid w:val="007D199E"/>
    <w:rsid w:val="007D22E8"/>
    <w:rsid w:val="007D28EC"/>
    <w:rsid w:val="007D2E20"/>
    <w:rsid w:val="007D37B9"/>
    <w:rsid w:val="007D4378"/>
    <w:rsid w:val="007D734A"/>
    <w:rsid w:val="007D79B0"/>
    <w:rsid w:val="007E0B9F"/>
    <w:rsid w:val="007E15B8"/>
    <w:rsid w:val="007E5CA8"/>
    <w:rsid w:val="007E664D"/>
    <w:rsid w:val="007E67C0"/>
    <w:rsid w:val="007E7672"/>
    <w:rsid w:val="007F23A2"/>
    <w:rsid w:val="007F30C3"/>
    <w:rsid w:val="007F3AD6"/>
    <w:rsid w:val="007F44DA"/>
    <w:rsid w:val="007F485B"/>
    <w:rsid w:val="007F5741"/>
    <w:rsid w:val="007F73CD"/>
    <w:rsid w:val="007F7E5C"/>
    <w:rsid w:val="008013D4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C42"/>
    <w:rsid w:val="00845F0B"/>
    <w:rsid w:val="00846343"/>
    <w:rsid w:val="00846649"/>
    <w:rsid w:val="00846C6B"/>
    <w:rsid w:val="00854F1C"/>
    <w:rsid w:val="008571A5"/>
    <w:rsid w:val="00857D6C"/>
    <w:rsid w:val="00860C51"/>
    <w:rsid w:val="00860FC1"/>
    <w:rsid w:val="0086579B"/>
    <w:rsid w:val="0086619C"/>
    <w:rsid w:val="008706CB"/>
    <w:rsid w:val="00871C60"/>
    <w:rsid w:val="0087211E"/>
    <w:rsid w:val="00872193"/>
    <w:rsid w:val="0087376F"/>
    <w:rsid w:val="00873FCE"/>
    <w:rsid w:val="00874D63"/>
    <w:rsid w:val="008753CA"/>
    <w:rsid w:val="00876A6A"/>
    <w:rsid w:val="008801E4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4EEE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776"/>
    <w:rsid w:val="009239BB"/>
    <w:rsid w:val="00925137"/>
    <w:rsid w:val="0092544E"/>
    <w:rsid w:val="00925967"/>
    <w:rsid w:val="00927D36"/>
    <w:rsid w:val="00936FEA"/>
    <w:rsid w:val="009408B4"/>
    <w:rsid w:val="00940B3D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28DD"/>
    <w:rsid w:val="009B4117"/>
    <w:rsid w:val="009B43E2"/>
    <w:rsid w:val="009B503C"/>
    <w:rsid w:val="009B6144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1BC9"/>
    <w:rsid w:val="009F7EBB"/>
    <w:rsid w:val="00A02EA0"/>
    <w:rsid w:val="00A03D04"/>
    <w:rsid w:val="00A07735"/>
    <w:rsid w:val="00A101EF"/>
    <w:rsid w:val="00A10490"/>
    <w:rsid w:val="00A10657"/>
    <w:rsid w:val="00A1344D"/>
    <w:rsid w:val="00A20104"/>
    <w:rsid w:val="00A2296B"/>
    <w:rsid w:val="00A26124"/>
    <w:rsid w:val="00A27802"/>
    <w:rsid w:val="00A3148B"/>
    <w:rsid w:val="00A3186C"/>
    <w:rsid w:val="00A33250"/>
    <w:rsid w:val="00A33BCD"/>
    <w:rsid w:val="00A34606"/>
    <w:rsid w:val="00A34A9C"/>
    <w:rsid w:val="00A35E89"/>
    <w:rsid w:val="00A36402"/>
    <w:rsid w:val="00A405C3"/>
    <w:rsid w:val="00A40DDB"/>
    <w:rsid w:val="00A425F0"/>
    <w:rsid w:val="00A50F4A"/>
    <w:rsid w:val="00A516C5"/>
    <w:rsid w:val="00A54514"/>
    <w:rsid w:val="00A56C6B"/>
    <w:rsid w:val="00A6214C"/>
    <w:rsid w:val="00A64F1A"/>
    <w:rsid w:val="00A66B72"/>
    <w:rsid w:val="00A67BF6"/>
    <w:rsid w:val="00A745A7"/>
    <w:rsid w:val="00A761E9"/>
    <w:rsid w:val="00A811B9"/>
    <w:rsid w:val="00A82AC1"/>
    <w:rsid w:val="00A830DC"/>
    <w:rsid w:val="00A835D1"/>
    <w:rsid w:val="00A85599"/>
    <w:rsid w:val="00A859E3"/>
    <w:rsid w:val="00A87C9B"/>
    <w:rsid w:val="00A90AF4"/>
    <w:rsid w:val="00A9131F"/>
    <w:rsid w:val="00A91446"/>
    <w:rsid w:val="00A935AA"/>
    <w:rsid w:val="00A935E0"/>
    <w:rsid w:val="00A93B71"/>
    <w:rsid w:val="00A95064"/>
    <w:rsid w:val="00A957FB"/>
    <w:rsid w:val="00A97CAD"/>
    <w:rsid w:val="00AA1102"/>
    <w:rsid w:val="00AA2C96"/>
    <w:rsid w:val="00AA4FCE"/>
    <w:rsid w:val="00AA5AE8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1E56"/>
    <w:rsid w:val="00AD3F54"/>
    <w:rsid w:val="00AD5329"/>
    <w:rsid w:val="00AD7A18"/>
    <w:rsid w:val="00AE18BE"/>
    <w:rsid w:val="00AE3AF4"/>
    <w:rsid w:val="00AE5008"/>
    <w:rsid w:val="00AE7E7C"/>
    <w:rsid w:val="00AF2BD3"/>
    <w:rsid w:val="00AF3AEE"/>
    <w:rsid w:val="00AF4116"/>
    <w:rsid w:val="00AF4992"/>
    <w:rsid w:val="00AF4A82"/>
    <w:rsid w:val="00AF5556"/>
    <w:rsid w:val="00AF6861"/>
    <w:rsid w:val="00B04849"/>
    <w:rsid w:val="00B05EEA"/>
    <w:rsid w:val="00B0783F"/>
    <w:rsid w:val="00B128E5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4474"/>
    <w:rsid w:val="00B464AE"/>
    <w:rsid w:val="00B472A9"/>
    <w:rsid w:val="00B536B1"/>
    <w:rsid w:val="00B54D2E"/>
    <w:rsid w:val="00B55C22"/>
    <w:rsid w:val="00B55D75"/>
    <w:rsid w:val="00B56386"/>
    <w:rsid w:val="00B56728"/>
    <w:rsid w:val="00B60452"/>
    <w:rsid w:val="00B60B5A"/>
    <w:rsid w:val="00B60E0B"/>
    <w:rsid w:val="00B611B8"/>
    <w:rsid w:val="00B63976"/>
    <w:rsid w:val="00B65DF9"/>
    <w:rsid w:val="00B67AD2"/>
    <w:rsid w:val="00B7191F"/>
    <w:rsid w:val="00B742D2"/>
    <w:rsid w:val="00B76241"/>
    <w:rsid w:val="00B763BC"/>
    <w:rsid w:val="00B766B9"/>
    <w:rsid w:val="00B76B2F"/>
    <w:rsid w:val="00B77832"/>
    <w:rsid w:val="00B80B41"/>
    <w:rsid w:val="00B816F5"/>
    <w:rsid w:val="00B834D4"/>
    <w:rsid w:val="00B92EB6"/>
    <w:rsid w:val="00B9457F"/>
    <w:rsid w:val="00B958CA"/>
    <w:rsid w:val="00B9620F"/>
    <w:rsid w:val="00BA0DAC"/>
    <w:rsid w:val="00BA3D5E"/>
    <w:rsid w:val="00BA5516"/>
    <w:rsid w:val="00BA7033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C76AC"/>
    <w:rsid w:val="00BE0C4A"/>
    <w:rsid w:val="00BE344F"/>
    <w:rsid w:val="00BE47D5"/>
    <w:rsid w:val="00BE70F0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03E8"/>
    <w:rsid w:val="00C25704"/>
    <w:rsid w:val="00C26943"/>
    <w:rsid w:val="00C273F6"/>
    <w:rsid w:val="00C3095D"/>
    <w:rsid w:val="00C31763"/>
    <w:rsid w:val="00C321E9"/>
    <w:rsid w:val="00C32651"/>
    <w:rsid w:val="00C33038"/>
    <w:rsid w:val="00C35ADF"/>
    <w:rsid w:val="00C368D5"/>
    <w:rsid w:val="00C411E9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6A1D"/>
    <w:rsid w:val="00C7717E"/>
    <w:rsid w:val="00C77237"/>
    <w:rsid w:val="00C77B92"/>
    <w:rsid w:val="00C80DA8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0E0C"/>
    <w:rsid w:val="00CA306A"/>
    <w:rsid w:val="00CA6141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21038"/>
    <w:rsid w:val="00D24282"/>
    <w:rsid w:val="00D25EC4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3761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3AED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D64C9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42AD"/>
    <w:rsid w:val="00E052DA"/>
    <w:rsid w:val="00E116C1"/>
    <w:rsid w:val="00E14E96"/>
    <w:rsid w:val="00E15577"/>
    <w:rsid w:val="00E16613"/>
    <w:rsid w:val="00E20398"/>
    <w:rsid w:val="00E21352"/>
    <w:rsid w:val="00E2356A"/>
    <w:rsid w:val="00E24775"/>
    <w:rsid w:val="00E27651"/>
    <w:rsid w:val="00E34D32"/>
    <w:rsid w:val="00E3733F"/>
    <w:rsid w:val="00E42236"/>
    <w:rsid w:val="00E45D5E"/>
    <w:rsid w:val="00E47188"/>
    <w:rsid w:val="00E512BB"/>
    <w:rsid w:val="00E52CED"/>
    <w:rsid w:val="00E54BE5"/>
    <w:rsid w:val="00E55777"/>
    <w:rsid w:val="00E5676C"/>
    <w:rsid w:val="00E578B9"/>
    <w:rsid w:val="00E57A9C"/>
    <w:rsid w:val="00E57CFF"/>
    <w:rsid w:val="00E6281B"/>
    <w:rsid w:val="00E64AE3"/>
    <w:rsid w:val="00E65415"/>
    <w:rsid w:val="00E6594F"/>
    <w:rsid w:val="00E71601"/>
    <w:rsid w:val="00E73855"/>
    <w:rsid w:val="00E80126"/>
    <w:rsid w:val="00E805C0"/>
    <w:rsid w:val="00E813AC"/>
    <w:rsid w:val="00E8166E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3A6B"/>
    <w:rsid w:val="00EB43DF"/>
    <w:rsid w:val="00EB67CE"/>
    <w:rsid w:val="00EC6435"/>
    <w:rsid w:val="00ED2550"/>
    <w:rsid w:val="00ED3347"/>
    <w:rsid w:val="00ED4D7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031C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306A"/>
    <w:rsid w:val="00F3665B"/>
    <w:rsid w:val="00F36A35"/>
    <w:rsid w:val="00F370CB"/>
    <w:rsid w:val="00F4196F"/>
    <w:rsid w:val="00F4211F"/>
    <w:rsid w:val="00F46B32"/>
    <w:rsid w:val="00F46D25"/>
    <w:rsid w:val="00F46E7F"/>
    <w:rsid w:val="00F502DF"/>
    <w:rsid w:val="00F53C17"/>
    <w:rsid w:val="00F554EA"/>
    <w:rsid w:val="00F5666F"/>
    <w:rsid w:val="00F57ACB"/>
    <w:rsid w:val="00F63393"/>
    <w:rsid w:val="00F6627F"/>
    <w:rsid w:val="00F66CE4"/>
    <w:rsid w:val="00F7093F"/>
    <w:rsid w:val="00F76560"/>
    <w:rsid w:val="00F76C3D"/>
    <w:rsid w:val="00F80225"/>
    <w:rsid w:val="00F80C2B"/>
    <w:rsid w:val="00F8261A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5018"/>
    <w:rsid w:val="00FA7C4A"/>
    <w:rsid w:val="00FB1099"/>
    <w:rsid w:val="00FB1FEC"/>
    <w:rsid w:val="00FB3567"/>
    <w:rsid w:val="00FB38CF"/>
    <w:rsid w:val="00FB4166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8CC"/>
    <w:rsid w:val="00FE799B"/>
    <w:rsid w:val="00FF0370"/>
    <w:rsid w:val="00FF0AFE"/>
    <w:rsid w:val="00FF3212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ACA557B3-3784-448B-9459-997F8A4DF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8.svg"/><Relationship Id="rId26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6.png"/><Relationship Id="rId25" Type="http://schemas.openxmlformats.org/officeDocument/2006/relationships/footer" Target="footer3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utsk.ukrstat.gov.ua" TargetMode="External"/><Relationship Id="rId20" Type="http://schemas.openxmlformats.org/officeDocument/2006/relationships/image" Target="media/image17.png"/><Relationship Id="rId29" Type="http://schemas.openxmlformats.org/officeDocument/2006/relationships/chart" Target="charts/chart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chart" Target="charts/chart2.xm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6.svg"/><Relationship Id="rId23" Type="http://schemas.openxmlformats.org/officeDocument/2006/relationships/chart" Target="charts/chart1.xml"/><Relationship Id="rId28" Type="http://schemas.openxmlformats.org/officeDocument/2006/relationships/chart" Target="charts/chart4.xml"/><Relationship Id="rId10" Type="http://schemas.openxmlformats.org/officeDocument/2006/relationships/endnotes" Target="endnotes.xml"/><Relationship Id="rId19" Type="http://schemas.openxmlformats.org/officeDocument/2006/relationships/hyperlink" Target="mailto:lutsk@lutsk.ukrstat.gov.ua" TargetMode="External"/><Relationship Id="rId31" Type="http://schemas.openxmlformats.org/officeDocument/2006/relationships/hyperlink" Target="http://www.lutsk.ukrstat.gov.ua/cini.htm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footer" Target="footer2.xml"/><Relationship Id="rId27" Type="http://schemas.openxmlformats.org/officeDocument/2006/relationships/chart" Target="charts/chart3.xml"/><Relationship Id="rId30" Type="http://schemas.openxmlformats.org/officeDocument/2006/relationships/hyperlink" Target="https://stat.gov.ua/sites/default/files/migration/files/2023/190_2023/190_2023.pdf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8925060179347682E-2"/>
                  <c:y val="-4.756874130172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4445776864678051E-2"/>
                  <c:y val="-4.23169138328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44577686467803E-2"/>
                  <c:y val="-4.91552530249366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3404343494017334E-2"/>
                  <c:y val="-6.26733334575152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3404343494017334E-2"/>
                  <c:y val="-4.9155253024936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3404343494017334E-2"/>
                  <c:y val="-6.2673333457515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3404343494017417E-2"/>
                  <c:y val="-4.90759540491707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5487210235338726E-2"/>
                  <c:y val="-4.9155253024936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8925060179347682E-2"/>
                  <c:y val="-5.67535850854060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2362910123356721E-2"/>
                  <c:y val="-4.90759540491706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2362910123356805E-2"/>
                  <c:y val="-4.8157363229224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6.2687746338538589E-2"/>
                  <c:y val="-5.065341823823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2.5328407297352109E-2"/>
                  <c:y val="-4.3894378021942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2024_11</c:v>
                </c:pt>
                <c:pt idx="1">
                  <c:v>12</c:v>
                </c:pt>
                <c:pt idx="2">
                  <c:v>2025_1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1.8</c:v>
                </c:pt>
                <c:pt idx="1">
                  <c:v>1.7</c:v>
                </c:pt>
                <c:pt idx="2">
                  <c:v>1.2</c:v>
                </c:pt>
                <c:pt idx="3">
                  <c:v>0.8</c:v>
                </c:pt>
                <c:pt idx="4">
                  <c:v>1.4</c:v>
                </c:pt>
                <c:pt idx="5">
                  <c:v>0.9</c:v>
                </c:pt>
                <c:pt idx="6">
                  <c:v>1.4</c:v>
                </c:pt>
                <c:pt idx="7">
                  <c:v>0.8</c:v>
                </c:pt>
                <c:pt idx="8">
                  <c:v>0.1</c:v>
                </c:pt>
                <c:pt idx="9">
                  <c:v>0.4</c:v>
                </c:pt>
                <c:pt idx="10">
                  <c:v>0.6</c:v>
                </c:pt>
                <c:pt idx="11">
                  <c:v>1.1000000000000001</c:v>
                </c:pt>
                <c:pt idx="12">
                  <c:v>0.6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3216576"/>
        <c:axId val="213217696"/>
      </c:lineChart>
      <c:catAx>
        <c:axId val="213216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3217696"/>
        <c:crosses val="autoZero"/>
        <c:auto val="1"/>
        <c:lblAlgn val="ctr"/>
        <c:lblOffset val="100"/>
        <c:noMultiLvlLbl val="0"/>
      </c:catAx>
      <c:valAx>
        <c:axId val="213217696"/>
        <c:scaling>
          <c:orientation val="minMax"/>
          <c:max val="2.5"/>
          <c:min val="-0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3216576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7670684501503375E-2"/>
          <c:y val="7.434944237918216E-2"/>
          <c:w val="0.86944017776053473"/>
          <c:h val="0.49243386651693893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1993192900159593E-2"/>
                  <c:y val="-4.0554241297735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64951371560078E-2"/>
                  <c:y val="-4.0554241297735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0974420470677493E-2"/>
                  <c:y val="-4.0554241297735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7.5453703785347104E-2"/>
                  <c:y val="-4.05542412977357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7.0974420470677452E-2"/>
                  <c:y val="-4.0554241297735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7536570526668489E-2"/>
                  <c:y val="-4.0554241297735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2015853841338224E-2"/>
                  <c:y val="-3.37952010814464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64951371560078E-2"/>
                  <c:y val="-3.3795201081446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8578003897329185E-2"/>
                  <c:y val="-4.7313281514025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2015853841338224E-2"/>
                  <c:y val="-4.0554241297735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3057287211998837E-2"/>
                  <c:y val="-3.37952010814464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l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1.2</c:v>
                </c:pt>
                <c:pt idx="1">
                  <c:v>2</c:v>
                </c:pt>
                <c:pt idx="2">
                  <c:v>3.4</c:v>
                </c:pt>
                <c:pt idx="3">
                  <c:v>4.4000000000000004</c:v>
                </c:pt>
                <c:pt idx="4">
                  <c:v>5.8</c:v>
                </c:pt>
                <c:pt idx="5">
                  <c:v>6.7</c:v>
                </c:pt>
                <c:pt idx="6">
                  <c:v>6.8</c:v>
                </c:pt>
                <c:pt idx="7">
                  <c:v>7.2</c:v>
                </c:pt>
                <c:pt idx="8">
                  <c:v>7.9</c:v>
                </c:pt>
                <c:pt idx="9" formatCode="0.0">
                  <c:v>9</c:v>
                </c:pt>
                <c:pt idx="10">
                  <c:v>9.6999999999999993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A766-423C-BE1B-937D8DD45EA2}"/>
            </c:ext>
          </c:extLst>
        </c:ser>
        <c:dLbls>
          <c:dLblPos val="l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3211536"/>
        <c:axId val="213218256"/>
      </c:lineChart>
      <c:catAx>
        <c:axId val="2132115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3218256"/>
        <c:crosses val="autoZero"/>
        <c:auto val="1"/>
        <c:lblAlgn val="ctr"/>
        <c:lblOffset val="100"/>
        <c:noMultiLvlLbl val="0"/>
      </c:catAx>
      <c:valAx>
        <c:axId val="213218256"/>
        <c:scaling>
          <c:orientation val="minMax"/>
          <c:max val="10"/>
          <c:min val="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3211536"/>
        <c:crosses val="autoZero"/>
        <c:crossBetween val="midCat"/>
        <c:majorUnit val="2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5048593169974696"/>
          <c:y val="0.83467760176480132"/>
          <c:w val="0.18256677041909514"/>
          <c:h val="9.7731996072305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6838850901916106E-2"/>
                  <c:y val="-7.66749434566885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2572615830741065E-2"/>
                  <c:y val="-6.70774079041131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7639821493521956E-2"/>
                  <c:y val="-7.0517365767727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0295379392699305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607686009297355E-2"/>
                  <c:y val="-8.175963670645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295379392699305E-2"/>
                  <c:y val="-8.175963670645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3404343494017417E-2"/>
                  <c:y val="-5.5835083954237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0295379392699305E-2"/>
                  <c:y val="-8.175963670645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9.111038403473129E-2"/>
                  <c:y val="7.13946169882220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7622980633010565E-2"/>
                  <c:y val="-6.70774079041131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5277766244205768E-2"/>
                  <c:y val="-5.9399910592963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6.6645629431313858E-2"/>
                  <c:y val="-6.8449496089548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2.5067637479717061E-2"/>
                  <c:y val="-6.8449496089548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2024_11</c:v>
                </c:pt>
                <c:pt idx="1">
                  <c:v>12</c:v>
                </c:pt>
                <c:pt idx="2">
                  <c:v>2025_1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3.7</c:v>
                </c:pt>
                <c:pt idx="1">
                  <c:v>2.6</c:v>
                </c:pt>
                <c:pt idx="2" formatCode="0.0">
                  <c:v>1</c:v>
                </c:pt>
                <c:pt idx="3">
                  <c:v>1.1000000000000001</c:v>
                </c:pt>
                <c:pt idx="4">
                  <c:v>1.9</c:v>
                </c:pt>
                <c:pt idx="5">
                  <c:v>2.2000000000000002</c:v>
                </c:pt>
                <c:pt idx="6">
                  <c:v>2.4</c:v>
                </c:pt>
                <c:pt idx="7">
                  <c:v>1.5</c:v>
                </c:pt>
                <c:pt idx="8">
                  <c:v>-0.5</c:v>
                </c:pt>
                <c:pt idx="9" formatCode="0.0">
                  <c:v>0</c:v>
                </c:pt>
                <c:pt idx="10" formatCode="0.0">
                  <c:v>0</c:v>
                </c:pt>
                <c:pt idx="11">
                  <c:v>2.2000000000000002</c:v>
                </c:pt>
                <c:pt idx="12" formatCode="0.0">
                  <c:v>1.3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68124048"/>
        <c:axId val="368123488"/>
      </c:lineChart>
      <c:catAx>
        <c:axId val="3681240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68123488"/>
        <c:crosses val="autoZero"/>
        <c:auto val="1"/>
        <c:lblAlgn val="ctr"/>
        <c:lblOffset val="200"/>
        <c:noMultiLvlLbl val="0"/>
      </c:catAx>
      <c:valAx>
        <c:axId val="368123488"/>
        <c:scaling>
          <c:orientation val="minMax"/>
          <c:max val="5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6812404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8401812302464512E-2"/>
                  <c:y val="-7.66749434566885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3665212329370028E-2"/>
                  <c:y val="6.78298433606423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4513898692425136E-2"/>
                  <c:y val="-7.0517365767727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4819824383373718E-2"/>
                  <c:y val="-7.0517365767727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0295379392699305E-2"/>
                  <c:y val="-7.0517365767727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295379392699381E-2"/>
                  <c:y val="-7.0517365767727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3404461333284615E-2"/>
                  <c:y val="-6.707740790411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0295379392699305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8925191037473482E-2"/>
                  <c:y val="-6.3512634276533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3404461333284615E-2"/>
                  <c:y val="-6.7077407904113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1059246944479971E-2"/>
                  <c:y val="-7.06421815316930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3990071532136467E-2"/>
                  <c:y val="-6.8449496089548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2.5067637479717061E-2"/>
                  <c:y val="-6.8449496089548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2024_11</c:v>
                </c:pt>
                <c:pt idx="1">
                  <c:v>12</c:v>
                </c:pt>
                <c:pt idx="2">
                  <c:v>2025_1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0.2</c:v>
                </c:pt>
                <c:pt idx="1">
                  <c:v>-0.1</c:v>
                </c:pt>
                <c:pt idx="2">
                  <c:v>0.2</c:v>
                </c:pt>
                <c:pt idx="3">
                  <c:v>0.2</c:v>
                </c:pt>
                <c:pt idx="4">
                  <c:v>0.1</c:v>
                </c:pt>
                <c:pt idx="5" formatCode="0.0">
                  <c:v>0</c:v>
                </c:pt>
                <c:pt idx="6">
                  <c:v>0.3</c:v>
                </c:pt>
                <c:pt idx="7">
                  <c:v>0.2</c:v>
                </c:pt>
                <c:pt idx="8" formatCode="0.0">
                  <c:v>0</c:v>
                </c:pt>
                <c:pt idx="9">
                  <c:v>0.2</c:v>
                </c:pt>
                <c:pt idx="10">
                  <c:v>0.1</c:v>
                </c:pt>
                <c:pt idx="11" formatCode="0.0">
                  <c:v>0</c:v>
                </c:pt>
                <c:pt idx="12" formatCode="0.0">
                  <c:v>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26381200"/>
        <c:axId val="326380640"/>
      </c:lineChart>
      <c:catAx>
        <c:axId val="326381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6380640"/>
        <c:crosses val="autoZero"/>
        <c:auto val="1"/>
        <c:lblAlgn val="ctr"/>
        <c:lblOffset val="200"/>
        <c:noMultiLvlLbl val="0"/>
      </c:catAx>
      <c:valAx>
        <c:axId val="326380640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638120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1527735103561346E-2"/>
                  <c:y val="4.69900368693373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6320770228547418E-2"/>
                  <c:y val="-6.707740790411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>
                  <c15:layout>
                    <c:manualLayout>
                      <c:w val="6.2624085087866446E-2"/>
                      <c:h val="0.12979246059672558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4.1975927866641644E-3"/>
                  <c:y val="3.37268128161888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4984263594344566E-2"/>
                  <c:y val="-4.49690837549185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295093729187673E-2"/>
                  <c:y val="6.8344155125634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8732417992150898E-2"/>
                  <c:y val="7.5632156435757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3404461333284615E-2"/>
                  <c:y val="6.78298433606423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8.4349459481454295E-2"/>
                  <c:y val="-2.5548282012809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7.8454826135553976E-2"/>
                  <c:y val="-5.22703633378036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2311864834655632E-2"/>
                  <c:y val="-6.709511226779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1529611846399394E-2"/>
                  <c:y val="-5.9399910592963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1334513632958925E-2"/>
                  <c:y val="-7.96917670282782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2412079580539671E-2"/>
                  <c:y val="-6.8449496089548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2024_11</c:v>
                </c:pt>
                <c:pt idx="1">
                  <c:v>12</c:v>
                </c:pt>
                <c:pt idx="2">
                  <c:v>2025_1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-0.4</c:v>
                </c:pt>
                <c:pt idx="1">
                  <c:v>0</c:v>
                </c:pt>
                <c:pt idx="2">
                  <c:v>1.9</c:v>
                </c:pt>
                <c:pt idx="3">
                  <c:v>0.7</c:v>
                </c:pt>
                <c:pt idx="4">
                  <c:v>-0.2</c:v>
                </c:pt>
                <c:pt idx="5">
                  <c:v>-0.1</c:v>
                </c:pt>
                <c:pt idx="6">
                  <c:v>-0.2</c:v>
                </c:pt>
                <c:pt idx="7">
                  <c:v>1.2</c:v>
                </c:pt>
                <c:pt idx="8">
                  <c:v>1.7</c:v>
                </c:pt>
                <c:pt idx="9">
                  <c:v>0.2</c:v>
                </c:pt>
                <c:pt idx="10">
                  <c:v>0.1</c:v>
                </c:pt>
                <c:pt idx="11" formatCode="0.0">
                  <c:v>0</c:v>
                </c:pt>
                <c:pt idx="12">
                  <c:v>0.3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26383440"/>
        <c:axId val="326199616"/>
      </c:lineChart>
      <c:catAx>
        <c:axId val="326383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6199616"/>
        <c:crosses val="autoZero"/>
        <c:auto val="1"/>
        <c:lblAlgn val="ctr"/>
        <c:lblOffset val="200"/>
        <c:noMultiLvlLbl val="0"/>
      </c:catAx>
      <c:valAx>
        <c:axId val="326199616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638344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FF358D-5952-4C8A-8838-A71A003DA78C}">
  <ds:schemaRefs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94080eec-b6b4-424a-9077-b67525ac751e"/>
    <ds:schemaRef ds:uri="63581625-5405-4f4c-b8da-aeb7be2e81a0"/>
  </ds:schemaRefs>
</ds:datastoreItem>
</file>

<file path=customXml/itemProps3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806E89-7EF2-4846-8013-911BC24BF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3533</Words>
  <Characters>2014</Characters>
  <Application>Microsoft Office Word</Application>
  <DocSecurity>0</DocSecurity>
  <Lines>16</Lines>
  <Paragraphs>11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Державна служба статистики</Company>
  <LinksUpToDate>false</LinksUpToDate>
  <CharactersWithSpaces>5536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ПРОФАЦЬКА Надія Вікторівна</dc:creator>
  <cp:lastModifiedBy>Kolodijchuk_L</cp:lastModifiedBy>
  <cp:revision>2</cp:revision>
  <cp:lastPrinted>2025-10-14T09:01:00Z</cp:lastPrinted>
  <dcterms:created xsi:type="dcterms:W3CDTF">2025-12-12T10:06:00Z</dcterms:created>
  <dcterms:modified xsi:type="dcterms:W3CDTF">2025-12-12T10:06:00Z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